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9" w:rsidRDefault="00AB304C">
      <w:pPr>
        <w:pStyle w:val="Heading1"/>
        <w:keepLines w:val="0"/>
        <w:spacing w:before="240" w:after="0" w:line="36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Клинические 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иалоаденит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 пациентов детского возраста</w:t>
      </w: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Код по Международной статистической классификации болезней  проблем, связанных со здоровьем: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К11.2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Год утверждения (частота пересмотра):</w:t>
      </w: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Профессиональные некоммерческие медицинские организации - разработчики:</w:t>
      </w:r>
    </w:p>
    <w:p w:rsidR="00FC2419" w:rsidRDefault="00AB304C">
      <w:pPr>
        <w:pStyle w:val="LO-normal1"/>
        <w:numPr>
          <w:ilvl w:val="0"/>
          <w:numId w:val="11"/>
        </w:num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Стоматологическая ассоциация России</w:t>
      </w: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AB304C">
      <w:pPr>
        <w:pStyle w:val="Heading1"/>
        <w:keepLines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FC2419" w:rsidRDefault="00FC2419">
      <w:pPr>
        <w:pStyle w:val="LO-normal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id w:val="1797048908"/>
        <w:docPartObj>
          <w:docPartGallery w:val="Table of Contents"/>
          <w:docPartUnique/>
        </w:docPartObj>
      </w:sdtPr>
      <w:sdtContent>
        <w:p w:rsidR="00FC2419" w:rsidRDefault="00FC2419">
          <w:pPr>
            <w:pStyle w:val="LO-normal1"/>
            <w:tabs>
              <w:tab w:val="right" w:pos="9348"/>
            </w:tabs>
            <w:spacing w:before="8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C2419">
            <w:fldChar w:fldCharType="begin"/>
          </w:r>
          <w:r w:rsidR="00AB304C">
            <w:rPr>
              <w:rFonts w:ascii="Times New Roman" w:eastAsia="Times New Roman" w:hAnsi="Times New Roman" w:cs="Times New Roman"/>
              <w:webHidden/>
              <w:color w:val="262626"/>
              <w:sz w:val="24"/>
              <w:szCs w:val="24"/>
            </w:rPr>
            <w:instrText>TOC \z \o "1-9" \u \t "Заголовок 1,1,Заголовок 2,2,Заголовок 3,3,Заголовок 4,4,Заголовок 5,5,Заголовок 6,6" \h</w:instrTex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fldChar w:fldCharType="separate"/>
          </w:r>
          <w:hyperlink w:anchor="_30j0zll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Оглавлени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е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1fob9te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Список сокращений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4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3znysh7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Термины и определения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5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2et92p0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1. Краткая информация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по заболеванию или состоянию (группе заболеваний или состояний)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7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yjcwt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1.1 Определение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заболевания или состояния (группы заболеваний или состояний)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7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3dy6vkm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1.2 Этиология и патогенез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заболевания или состояния (группы заболеваний или состояний) 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7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7" w:anchor="heading=h.37m2jsg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1.3 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особенности к</w:t>
          </w:r>
          <w:hyperlink w:anchor="_1t3h5sf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одирования заболевания или состояния (группы заболеваний или состояний) по Международной статистической классфикации болезней и проблем, связанных со здоровье</w:t>
            </w:r>
          </w:hyperlink>
          <w:proofErr w:type="gram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м</w:t>
          </w:r>
          <w:proofErr w:type="gram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8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1.4 </w:t>
          </w:r>
          <w:hyperlink r:id="rId8" w:anchor="heading=h.1mrcu09" w:history="1"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Классификация</w:t>
            </w:r>
          </w:hyperlink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заболевания или состояния (группы заболеваний или состояний)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8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1ksv4uv">
            <w:r w:rsidR="00AB304C">
              <w:rPr>
                <w:rFonts w:ascii="Times New Roman" w:eastAsia="Times New Roman" w:hAnsi="Times New Roman" w:cs="Times New Roman"/>
                <w:webHidden/>
                <w:color w:val="262626"/>
                <w:sz w:val="24"/>
                <w:szCs w:val="24"/>
              </w:rPr>
              <w:t>1.5 Клиническая картина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заболевания или состояния (группы заболеваний или состояний)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8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heading=h.44sinio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 Диагностика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заболевания или состояния (группы заболеваний или состояний)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10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0" w:anchor="heading=h.2jxsxqh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2.1 Жалобы и анамнез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12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1" w:anchor="heading=h.46r0co2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2.2 Физикальное обследование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12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anchor="heading=h.1y810tw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2.3 Лабораторные диагности</w:t>
            </w:r>
          </w:hyperlink>
          <w:proofErr w:type="spell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ческие</w:t>
          </w:r>
          <w:proofErr w:type="spell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исследования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13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anchor="heading=h.4i7ojhp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2.4 Инструментальные диагностическ</w:t>
            </w:r>
          </w:hyperlink>
          <w:proofErr w:type="spell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ие</w:t>
          </w:r>
          <w:proofErr w:type="spell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исследования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14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4" w:anchor="heading=h.2xcytpi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2.5 Иные диагности</w:t>
            </w:r>
          </w:hyperlink>
          <w:proofErr w:type="spell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ческие</w:t>
          </w:r>
          <w:proofErr w:type="spell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исследования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14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5" w:anchor="heading=h.3whwml4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 Лечение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, включая </w:t>
          </w:r>
          <w:proofErr w:type="spell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медкаментозную</w:t>
          </w:r>
          <w:proofErr w:type="spell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14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</w:pPr>
          <w:hyperlink r:id="rId16" w:anchor="heading=h.2bn6wsx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3.1 Комплексное медикаментозное лечение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15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3.2 Лечение, направленное на предупреждение обострения заболевания                          16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3.3 Лечение, направленное на коррекцию нарушенного иммунитета                                 17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3.4 Лечение, направленное снижение токсического воздействия на организм системных заболеваний                                                                                                                               17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7" w:anchor="heading=h.3as4poj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3.3 Оперативное (хирургическое) лечение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17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8" w:anchor="heading=h.2p2csry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 Медицинская реабилитация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 </w:t>
          </w:r>
          <w:proofErr w:type="spellStart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санаторно</w:t>
          </w:r>
          <w:proofErr w:type="spellEnd"/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—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18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9" w:anchor="heading=h.147n2zr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 Профилактика и диспансерное наблюдение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, медицинские показания и противопоказания к применению методов профилактики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18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0" w:anchor="heading=h.ihv636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6. </w:t>
            </w:r>
          </w:hyperlink>
          <w:hyperlink r:id="rId21" w:anchor="heading=h.2lwamvv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Организация медицинской помощи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19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lastRenderedPageBreak/>
            <w:t>7.</w:t>
          </w:r>
          <w:hyperlink r:id="rId22" w:anchor="heading=h.ihv636" w:history="1"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Дополнительная информация (в том числе факторы, влияющие на исход заболевания</w:t>
            </w:r>
          </w:hyperlink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или состояния)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20</w:t>
          </w:r>
          <w:proofErr w:type="gramEnd"/>
        </w:p>
        <w:p w:rsidR="00FC2419" w:rsidRDefault="00FC2419">
          <w:pPr>
            <w:pStyle w:val="LO-normal1"/>
            <w:tabs>
              <w:tab w:val="right" w:pos="9348"/>
            </w:tabs>
            <w:spacing w:before="6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3" w:anchor="heading=h.32hioqz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Критерии оценки качества медицинской помощи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20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4" w:anchor="heading=h.111kx3o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Список литературы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23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5" w:anchor="heading=h.41mghml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Приложение А1. Состав рабочей группы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по разработке и пересмотру клинических рекомендаций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24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6" w:anchor="heading=h.3tbugp1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Приложение А2. Методология разработки клинических рекомендаций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25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Приложение А3. Справочные материалы, включая соответствие показаний к применению и противопоказаний, способов и до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  <w:lang w:val="ru-RU"/>
            </w:rPr>
            <w:t>з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 xml:space="preserve"> лекарственных препаратов, инструкций по применению лекарственного препарата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28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Приложение А3.1. Форма добровольного информированного согласия пациента при выполнении протокола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28</w:t>
          </w:r>
        </w:p>
        <w:p w:rsidR="00FC2419" w:rsidRDefault="00AB304C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Приложение А3.2. Перечень медицинских услуг для диагностики и лечения рецессии десны                                                                                                                                          31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7" w:anchor="heading=h.28h4qwu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Приложение Б. Алгоритмы 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>действий врача</w:t>
          </w:r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36</w:t>
          </w:r>
        </w:p>
        <w:p w:rsidR="00FC2419" w:rsidRDefault="00FC2419">
          <w:pPr>
            <w:pStyle w:val="LO-normal1"/>
            <w:tabs>
              <w:tab w:val="right" w:pos="9348"/>
            </w:tabs>
            <w:spacing w:before="200" w:after="200" w:line="240" w:lineRule="auto"/>
            <w:ind w:left="-14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8" w:anchor="heading=h.3l18frh" w:history="1">
            <w:r w:rsidR="00AB304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Приложение В Информация для пациентов</w:t>
            </w:r>
          </w:hyperlink>
          <w:r w:rsidR="00AB304C"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tab/>
            <w:t>38</w:t>
          </w:r>
          <w:r>
            <w:rPr>
              <w:rFonts w:ascii="Times New Roman" w:eastAsia="Times New Roman" w:hAnsi="Times New Roman" w:cs="Times New Roman"/>
              <w:color w:val="262626"/>
              <w:sz w:val="24"/>
              <w:szCs w:val="24"/>
            </w:rPr>
            <w:fldChar w:fldCharType="end"/>
          </w:r>
        </w:p>
      </w:sdtContent>
    </w:sdt>
    <w:p w:rsidR="00FC2419" w:rsidRDefault="00FC2419">
      <w:pPr>
        <w:pStyle w:val="LO-normal1"/>
        <w:spacing w:after="2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C2419" w:rsidRDefault="00AB304C">
      <w:pPr>
        <w:pStyle w:val="Heading1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1fob9te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МКБ 10 - международная статистическая классификация болезней и проблем, связанных со здоровьем Всемирной организации здравоохранения 10-го пересмотра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МРТ — магнитно — резонансная томография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ЧЛО - челюстно-лицевая область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СЖ - слюнная железа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ОУСЖ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околоушная слюнная железа 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ОУО - околоушная область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ПНЧСЖ - поднижнечелюстная слюнная железа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ПЯСЖ -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подязычная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слюнная железа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УЗИ - ультразвуковое исследование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ГБО - гипербарическая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оксигенация</w:t>
      </w:r>
      <w:proofErr w:type="spellEnd"/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УВЧ-терапия - ультравысокочастотная терапия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ЛОР - от греческих слов, обозначающих “гортань”, “ухо”, “нос”</w:t>
      </w:r>
    </w:p>
    <w:p w:rsidR="00FC2419" w:rsidRDefault="00AB304C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ЛПУ - лечебно-профилактические учреждения</w:t>
      </w: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FC2419">
      <w:pPr>
        <w:pStyle w:val="LO-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C2419" w:rsidRDefault="00AB304C">
      <w:pPr>
        <w:pStyle w:val="Heading1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znysh7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Термины и определения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Слюнные железы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секреторные органы, выполняющие многообразные функции: секреторную,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рекреторную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экскреторную, инкреторную. Они оказывают большое влияние на состояние организма, в частности на пищеварительную систему и органы полости рта. У человека есть три пары больших слюнных желез и много малых.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относят по две околоушных, поднижнечелюстных и подъязычных железы. Малые слюнные железы расположены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подслизистом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слое полости рта, наибольшее их количество находится в области губ и щек.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Околоушная слюнная железа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самая крупная. Она относится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серозным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расположена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позадичелюстной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ямке,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кнутри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распространяется в окологлоточное пространство, снаружи покрывает наружную поверхность собственно жевательной мышцы. Железа покрыта околоушно-жевательной фасцией, отдающей отроги в железу. В толще железы находится много (6-8) лимфатических узлов, играющих роль в развитии воспаления. Через околоушную железу проходят внутренняя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наружняя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сонные артерии,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занижнечелюстная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внутренняя яремная вены,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ствол лицевого нерва, делящийся в толще железы на пять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конечных ветвей, иннервирующих мимическую мускулатуру. Парасимпатическая иннервация осуществляется ушно-височным нервом, симпатическая - ветвями, идущими из верхнего шейного симпатического узла в области наружной сонной артерии. Открывается околоушная железа в полости рта сосочком околоушного протока на уровне 1-2 моляров верхней челюсти.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Поднижнечелюстная слюнная железа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смешанная (серозно-слизистая). Она расположена в поднижнечелюстном треугольнике, ограничена передним и задним брюшками двубрюшной мышцы, челюстно-подъязычной мышцей и кожей. Поднижнечелюстной проток, огибая задний край челюстно-подъязычной мышцы, проникает в подъязычную область, где открывается на вершине слюнного сосочка. Железа иннервируется ветвями вегетативного подчелюстного узла и язычного нерва,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кровоснабжается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ветвями лицевой, язычной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подподбородочной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артерий. Иногда через железу проходят лицевые артерия и вена.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Подъязычная слюнная железа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имеет овальную форму и располагается сбоку, под языком, непосредственно под слизистой оболочкой полости рта. Главный выводной проток железы впадает в проток поднижнечелюстной слюнной железы.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Сиалоаденит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воспаление слюнной железы.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Паротит новорожденного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острое воспаление одной или обеих околоушных слюнных желез. Встречается у недоношенных или ослабленных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новрожденных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Паренхима слюнных желез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представлена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ацинусов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протоков,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объединенных в дольки. Между дольками располагаются соединительно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тканные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прослойки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интерстиций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в котором проходят сосуды и нервы. По характеру секрета околоушные железы относятся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белковым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поднижнечелюстные — к смешанным.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подъязычные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к слизистым.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Сиалодохит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воспаление выводного протока слюнной железы.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Зондирование протока слюнной железы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позволяет установить направление его хода, наличие сужения или полного заращения, присутствие в протоке конкремента и место его расположения. При зондировании применяются специальные зонды для выводных протоков.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Сиалометрия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исследование секреторной функции слюнных желез. Используют специальные канюли длинной 85-97 мм и диаметром 0,8-1 мм. Исследование проводят утром натощак. После приема больным внутрь 8 капель 1% раствора пилокарпина канюлю вводят в проток слюнной железы на глубину 3-5 мм. Конец канюли опускают в градуированную пробирку, которую держит больной. На протяжении 20 минут с момента появлении капли (время отмечают) секрет собирают в пробирку и определяют количество. При всех заболеваниях слюнных желез этот метод позволяет установить степень нарушения секреторной функции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условии, что секрет жидкий и в нем отсутствуют слизистые и фибринозные включения, не нарушены его физические свойства. У практически здоровых людей количество слюны, выделяющейся за 20 минут из околоушной железы, составляет 0,9-5,1 мл, чаще 1,1-2,5 мл,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поднижнечелюстной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- 0,9-6,8 мл, чаще - 1-3 мл.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Цитологическое исследование слюны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каплю секрета (в процессе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сиалометрии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помещают на предметное стекло, делают мазок и окрашивают его по методу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Романовского-Гимзы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Если нет возможности получить каплю секрета из-за сгущения слюны, материал берут с помощью ложечки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Фолькмана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секрете околоушных и поднижнечелюстных желез в норме обнаруживают единичные клетки плоского и цилиндрического эпителия, выстилающего выводные протоки, единичные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нейтрофильные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лейкоциты и лимфоциты. На клетках плоского эпителия могут находиться бактерии.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Сиалография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рентгенография слюнных желез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искусственным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контрастированием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Позволяет судить о состоянии протоков и паренхимы железы. В качестве контрастного вещества используют как масляные препараты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йодолипол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липиодол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“Ультра-Флюид”,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йодэтиол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др.),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водорастворимые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(натрия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амидотризоат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урографин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йогексол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омнипак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и др.). Контрастное вещество вводят в железу через проток до ощущения в ней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распирания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Количество вводимого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контрастного вещества для заполнения протоков неизменной околоушной железы в среднем составляет 1-2 мл, поднижнечелюстной - 0,5-1,5 мл.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Пантамосиалография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это метод рентгенологического исследования с предварительным введением контрастного вещества в две и более слюнные железы с последующей панорамной томографией. </w:t>
      </w:r>
    </w:p>
    <w:p w:rsidR="00FC2419" w:rsidRDefault="00FC2419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2et92p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1. Краткая информация по заболеванию или состоянию (группе заболеваний или состояний)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tyjcwt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1.1 Определение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заболевания или состояния (группы заболеваний или состояний)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Острый сиалоаденит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локализуются обычно в области околоушных слюнных желез, значительно реже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подчелюстных. В хирургических стационарах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острый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сиалоденит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может развиваться как осложнение после операции на органах брюшной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полост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В результате угнетения секреторной функции слюнных желез. В стоматологических клиниках встречается острый сиалоаденит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лимфогенной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природы (паротит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Герценберга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а также острый паротит новорожденных. У пациентов терапевтических отделений острое воспаление слюнных желез может возникнуть при сердечно — сосудистой недостаточности, патологии обмена веществ, кахексии. Врачи — стоматологи — хирурги чаще всего встречают бактериальные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сиалодениты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[5]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Хронический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сиалоаденит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это воспалительное заболевание слюнных желез с недостаточно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этиологией и патогенезом. Установлено, что у больных хроническим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сиалоаденитом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генетически обусловленный гомеостазис определяется ослаблением защитных сил организма. Снижение иммунитета создает предпосылки для возникновения заболеваний определенных систем, в том числе и слюнных желез.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Немаловажную роль при этом отводят врожденным изменениям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ацинарной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ткани слюнной железы, приводящих к развитию той или иной формы хронического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сиалоаденита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gramEnd"/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настоящее время выделяют три формы сиалоаденита по преимущественному поражению различных анатомических отделов слюнной железы: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интерстицию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интерстициальный сиалоаденит, паренхимы - паренхиматозный сиалоаденит, системы выводных протоков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сиалодохит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протоковый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сиалоаденит). [1,2,3]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Паротит новорожденного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острое воспаление одной или обеих околоушных слюнных желез. Встречается у недоношенных или ослабленных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новрожденных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3dy6vkm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1.2 Этиология и патогенез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заболевания или состояния (группы заболеваний или состояний)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Возникновению сиалоаденитов у детей способствуют: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воспалительные поражения слизистой оболочки полости рта;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острые и хронические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тонзилиты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острые и хронические лимфадениты;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острые респираторные заболевания;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наличие кариозных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периодонтитных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зубов;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проникновение инородных тел в протоки слюнных желез (в особенности у маленьких детей);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анатомическое строение протоков и паренхимы слюнных желез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эмбрионально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обусловленные аномалии выводных протоков больших слюнных желез, устья зияют, протоки широкие и короткие);</w:t>
      </w:r>
    </w:p>
    <w:p w:rsidR="00FC2419" w:rsidRDefault="00AB304C">
      <w:pPr>
        <w:pStyle w:val="LO-normal1"/>
        <w:numPr>
          <w:ilvl w:val="0"/>
          <w:numId w:val="16"/>
        </w:numPr>
        <w:tabs>
          <w:tab w:val="left" w:pos="232"/>
        </w:tabs>
        <w:spacing w:line="360" w:lineRule="auto"/>
        <w:ind w:left="510" w:hanging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изменения местного и общего (наличие вторичного иммунодефицита) иммунитета. </w:t>
      </w:r>
      <w:r>
        <w:rPr>
          <w:rFonts w:ascii="Times New Roman" w:hAnsi="Times New Roman"/>
          <w:sz w:val="24"/>
          <w:szCs w:val="24"/>
          <w:lang w:val="en-US"/>
        </w:rPr>
        <w:t>[10]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Паротит новорожденного — этиология не ясна, патогенез изучен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недостаточно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аболевание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чаще всего развивается у недоношенных и ослабленных детей с сопутствующей врожденной патологией на первых неделях жизни. Появлению болезни способствует мастит у матери.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[1, 5,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]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Острый бактериальный сиалоаденит — пути проникновения инфекции — чаще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лимфогенный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или гематогенный, но возможен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стоматогенный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путь (через выводной проток), который связан с травмой и другими заболеваниями полости рта. Возможно развитие острого паротита на фоне острых респираторных заболеваний, а также:</w:t>
      </w:r>
    </w:p>
    <w:p w:rsidR="00FC2419" w:rsidRDefault="00AB304C">
      <w:pPr>
        <w:pStyle w:val="LO-normal1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тяжелых инфекционных болезней (тиф, корь, грипп), сопровождающихся высокой температурой и сильной интоксикацией; одной из компенсаторных реакций при этих заболеваниях является задержка воды в организме для снижения концентрации токсинов, в том числе уменьшение слюноотделения, что может привести к восходящему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инфированию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паренхимы железы; кроме того, после тяжелых инфекционных заболеваний возможно истощение иммунных сил организма;</w:t>
      </w:r>
      <w:proofErr w:type="gramEnd"/>
    </w:p>
    <w:p w:rsidR="00FC2419" w:rsidRDefault="00AB304C">
      <w:pPr>
        <w:pStyle w:val="LO-normal1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онкологические заболевания, сопровождающиеся резким падением иммунитета, кахексией и обезвоживанием;</w:t>
      </w:r>
    </w:p>
    <w:p w:rsidR="00FC2419" w:rsidRDefault="00AB304C">
      <w:pPr>
        <w:pStyle w:val="LO-normal1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операции на органах брюшной полости и репродуктивной системы, во время которых раздражается парасимпатическое сплетение, расположенное в брюшной полости; итог этого процесса — угнетение слюноотделения;</w:t>
      </w:r>
    </w:p>
    <w:p w:rsidR="00FC2419" w:rsidRDefault="00AB304C">
      <w:pPr>
        <w:pStyle w:val="LO-normal1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тяжелые заболевания сердечно — сосудистой системы.</w:t>
      </w:r>
      <w:r w:rsidRPr="00AB30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1, 5,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11]  </w:t>
      </w:r>
    </w:p>
    <w:p w:rsidR="00FC2419" w:rsidRDefault="00AB304C">
      <w:pPr>
        <w:pStyle w:val="LO-normal1"/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 xml:space="preserve">Во всех случаях возникновения острого бактериального сиалоаденита обязательное звено патогенеза — угнетение секреции и выделения слюны. Неблагоприятные факторы в развитии сиалоаденита вне зависимости от причины заболевания — это гингивиты, стоматиты, зубные отложения. Осложненный кариес зубов, нарушение гигиены полости рта, при которых возрастает вероятность восходящей инфекции. </w:t>
      </w:r>
    </w:p>
    <w:p w:rsidR="00FC2419" w:rsidRDefault="00AB304C">
      <w:pPr>
        <w:pStyle w:val="LO-normal1"/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 xml:space="preserve">Среди возбудителей острого неэпидемического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сиаладенита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обнаруживаются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стафиллококки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пневмококки, диплококки, стрептококки. Кишечная палочка, анаэробная микрофлора. Основным путем проникновения инфекции в железу считается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стоматологенный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помимо него распространение возбудителя может происходить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лифмогенно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(в толще околоушной слюнной железы и под ее капсулой расположены лимфатические узлы),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гематогенно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(при сепсисе),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контаткно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(распространение инфекции на паренхиму железы при абсцессах и флегмонах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околоушно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жевательной области).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[1,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]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Ложный паротит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Герценберга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представляет собой воспаление лимфатических узлов, расположенных в толще ОУСЖ и ОУО. Клиника лимфаденита (в начальных стадиях) имитирует клиническую картину острого паротита. Причинами являются конъюнктивиты, инфекционные поражения кожи лица, периодонтиты.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Хронический рецидивирующий паротит, хронический возвратный паротит, хронический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сиалэктатический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паротит,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интермиттирующий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возвратный гнойный паротит, кистозный паротит, кистозная дисплазия, вторичный инфицированный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дуктулярный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паротит, возвратный бактериальный паротит, паротит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синонимы хронического неспецифического паренхиматозного сиалоаденита, заболевания с недостаточно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этиологией и патогенезом. Есть сведения о врожденном происхождении заболевания. Многие авторы предполагают, что паренхиматозный паротит развивается вследствие врожденных изменений концевых отделов железы и дисплазии ее ткани с образованием полостей, которые способствуют ретенции слюны, нарушению ее оттока, приводя к проникновению инфекции полости рта (микрофлора носоглотки, миндалин, кариозных зубов) через околоушный проток и развитию сиалоаденита. Обследования детей позволило выявить скрыто протекающие процессы в околоушных слюнных железах, которым не предшествовала острая стадия воспаления. Процесс характеризуется первично-хроническим началом. Возможно, начало заболевания провоцирует воспаление лимфатических узлов,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пенетрированных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дольки железы. Микрофлора, находящаяся в протоках околоушных желез, в этиологии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паротита играет второстепенную роль, но определяет активность течения процесса. Главную роль в развитии паренхиматозного паротита играет угнетение факторов неспецифической защиты организма. [1, 3,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" w:name="_1t3h5sf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1.3 Особенности кодирования заболевания или состояния (группы заболевания или состояния) по Международной статистической классификации болезней и проблем, связанных со здоровьем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К11.2 Сиалоаденит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7" w:name="_4d34og8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1.4 Классификация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заболевания или состояния (группы заболеваний или состояний)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 остром воспалении возможна классификация по характеру воспаления в железе: различают катаральную (серозную), гнойную, гангренозную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некротическую) формы заболевания. Катаральная форма может быстро перейти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Гангренозная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развивается при наличии анаэробной микрофлоры и несвоевременно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оказаой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помощи ребенку.</w:t>
      </w:r>
      <w:r w:rsidRPr="00AB30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[5]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 хроническом воспалении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настоящее время выделяют три формы сиалоаденита по преимущественному поражению различных анатомических отделов слюнной железы: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интерстицию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интерстициальный сиалоаденит, паренхимы - паренхиматозный сиалоаденит, системы выводных протоков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сиалодохит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протоковый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сиалоаденит).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зависимости от степени выраженности патологических симптомов различают начальную, клинически выраженную и позднюю стадии заболевания. </w:t>
      </w:r>
    </w:p>
    <w:p w:rsidR="00FC2419" w:rsidRDefault="00AB304C">
      <w:pPr>
        <w:pStyle w:val="LO-normal1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основании показателей клинического течения и лабораторных данных выделяют активное и неактивное течение хронического сиалоаденит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а: острое, хроническое и в стадии обострения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[3,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8" w:name="_1ksv4uv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1.6 Клиническая картина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заболевания или состояния (группы заболеваний или состояний)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Паротит новорожденного имеет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одностроннее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поражение. Клиника вначале типична для катаральной (серозной)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сиалоденита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При отсутствии лечения быстро наступает гнойное или даже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некротическое расплавление железы. Болезнь сопровождается выраженной интоксикацией.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Клинические проявления острого неэпидемического (бактериального) сиалоаденита во многом зависят от причин, вызывающих заболевание. Если сиалоаденит возник от местных причин на фоне общего здоровья ребенка, то течение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заболевания относительно спокойное. Очень тяжело протекает острый сиалоаденит, развившийся как осложнение тяжелого общего заболевания или в ответ на операцию в брюшной полости.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Местная клиническая картина острого катарального (серозного) сиалоаденита характерна для инфекционно — воспалительного заболевания и усугубляется сопутствующими (причинными) заболеваниями. Чаще всего поражается одна околоушная железа, но при наличии общей тяжелой патологии возможно и двустороннее поражение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Заболевание начинается остро. У детей появляются боли в околоушной области, сухость в полости рта, повышается температура тела.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 переходе катаральной формы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состояние ребенка ухудшается. Помимо высокой температуры появляются головная боль и резкая болезненность в области пораженной железы,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иррадиирующая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ухо, висок, глаз.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Воспалительный процесс при прогрессировании заболевания может перейти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некротическую (гангренозную) форму сиалоаденита с местной клиникой тяжелой флегмоны ОУЖО (отек, инфильтрация, флюктуация,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гиперимия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Особенность хронического неспецифического паренхиматозного паротита заключается в длительности и цикличности течения, от этих двух факторов зависит состояние паренхимы и стромы железы - степень выраженности деструктивных и склеротических изменений. Заболевание чаще проявляется у детей 3-8 лет, но встречается и в более раннем возрасте. Обострения могут возникать 6-8 раз в год и сопровождаются подъемом температуры тела, ухудшением общего состояния, появлением боли и припухлости в области околоушных слюнных желез с одной или двух сторон, чаще страдает нижнезадняя часть СЖ. Отмечается поражение чаще обеих околоушных  желез. При выраженном воспалении наблюдается гиперемия и напряжение кожи околоушно-жевательной области. При пальпации прощупывается увеличенная, болезненная или слабо болезненная, плотная, бугристая железа. При массировании области околоушной железы из слюнного протока выделяется вязкая, желеобразная слюна с примесью гноя или сгустков фибрина. В острый период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отделяемое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околоушного протока может отсутствовать.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Различают три клинико-рентгенологические стадии заболевания: начальную, клинически выраженную и позднюю. В каждой стадии выделяют периоды обострения и ремиссии.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начальной стадии заболевание характеризуется бессимптомным течением. Обычно паренхиматозный паротит обнаруживается случайно при обследовании больного или первичном обострении процесса. Изменений в области ОСЖ в период ремиссии не наблюдают. Из протоков околоушных желез выделяется обычное количество прозрачного секрета.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клинически выраженной стадии больных беспокоят солоноватое выделение из протоков, чувство тяжести в области железы. Иногда железы увеличены, при этом припухлость имеет упруго-эластическую консистенцию. В отдельных участках прощупывают болезненное уплотнение. Из протоков выделяется секрет с примесью слизистых комочков, иногда гнойных включений, или же секрет бывает прозрачный, умеренно вязкий.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поздней стадии заболевания пациентов постоянно беспокоят припухлость в области пораженной железы, чувство тяжести или небольшая болезненность в околоушных областях, выделение неприятной гнойной слюны, иногда чувство сухости полости рта. Припухлость бывает бугристой, безболезненной и может располагаться в пределах анатомических границ околоушной железы. Кожа, покрывающая припухлость, иногда истончена и может иметь рубцы от ранее произведенных разрезов по поводу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абсцедирования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обострении паротита. У некоторых больных, несмотря на позднюю стадию процесса, железа в период ремиссии остается неизменной.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определении стадии заболевания учитывают характер рентгенологических изменений в структуре железы, выявляемый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контрастировании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обеих желез с последующим рентгенологическим исследованием.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каждой стадии различают клинически активное и неактивное течение.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активном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течение процесса четко проявляются все признаки обострения хронического паренхиматозного паротита, которое выражено воспалительной реакцией околоушной слюнной железы с общими симптомами воспаления. Осмотр полости рта позволяет выявить отечность слизистой оболочки щеки и зияние устья выводного протока, из которого выявляется густая вязкая слюна с примесью гнойных хлопьев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фибриновых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сгустков. Картина периферической крови свидетельствует об остром воспалении. Продолжительность обострения в железе при активном течении заболевания составляет от 2-3 недель до 2 месяцев. Наблюдается 4-8 обострений в год.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неактивном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течение обострение хронического паренхиматозного паротита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протекает без выраженных местных и общих симптомов воспаления, в год происходит 1-3 обострения. Чем меньше возраст ребенка, тем активнее протекает заболевание.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период ремиссии ОСЖ, как правило, не пальпируется или может оставаться увеличенной. При массировании железы их околоушного протока выделяется секрет, который может быть прозрачным или иметь хлопьевидные включения. [3]</w:t>
      </w:r>
    </w:p>
    <w:p w:rsidR="00FC2419" w:rsidRDefault="00AB304C">
      <w:pPr>
        <w:pStyle w:val="Heading1"/>
        <w:keepLines w:val="0"/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44sinio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 Диагностика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заболевания или состояния (группы заболеваний или состояний), медицинские  показания и противопоказания к применению методов диагностики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Главная задача при диагностике заключается в выявлении клинических признаков хронического неспецифического паренхиматозного паротита, определении степени тяжести и выбора соответствующего метода лечения.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диагностики различных заболеваний и повреждений слюнных желез используют общие, частные и специальные методы обследования.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общим методам относят те, которые применяют при обследовании всех больных (сбор анамнеза, опрос, клинический осмотр). При опросе необходимо выяснить наличие сухости полости рта, болезненности или припухания в области слюнных желез, связанных с приемом пищи. Осмотр и пальпация позволяют оценить состояние кожных покровов в области слюнных желез, слизистой оболочки в области устьев выводных протоков, наличие припухлости в области слюнной железы и ее выводного протока, консистенцию и подвижность железы, характер и количество выделяющегося секрета.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частным методам относят зондирование выводных протоков, рентгенографию области слюнных желез, исследование секреторной функции, качественный анализ слюны (исследование ее физико-химических свойств), цитологическое исследование мазков слюнного секрета,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сиалографию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пантамосиалографию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Контрастную рентгенографию проводят после купирования воспалительных процессов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стадии ремиссии). Из методик рентгенографии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контрастированием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первичном обследовании ребенка наиболее информативна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ортопантомография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позволяющая исследовать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две железы. Существуют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патогномичные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рентгенологические симптомы хронического паротита: расширение основного выводного протока, неравномерное расширение и прерывистость протоков первого и второго порядка, появление округлых полостей диаметром 1-4 мм вместо протоков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третьего и четвертого порядка. В зависимости от стадии процесса поражение паренхимы железы прогрессирует, что проявляется расширением околоушного протока, поражением протоков первого, второго, третьего, четвертого, пятого порядка, увеличением полостей.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постановки диагноза и оценки эффективности лечения важным остается цитологическое исследование секрета из околоушных слюнных желез в период ремиссии. В каждой из стадий воспалительного процесса можно обнаружить форменные элементы, представленные клетками эпителия и элементами хронического воспаления - клетками лимфоидного ряда.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последние годы наиболее информативным методом исследования слюнных желез считается УЗИ,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позволяющее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установить диагноз и стадию заболевания, осуществить контроль на этапах лечения.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Эхография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особенно показана в детском возрасте, поскольку 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неинвазивна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не занимает много времени, не вызывает негативного отношения ребенка к процедуре.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Диагностика сложна при первом обострении заболевания, так как приходится дифференцировать хронический паренхиматозный паротит от лимфаденита и новообразований в этой области, новообразований ветви нижней челюсти. Клиническая характеристика процесса и повторные обострения позволяют исключить эпидемический паротит. Окончательный диагноз устанавливают только после ультразвукового исследования или рентгенологического исследования и цитологического исследования секрета обеих околоушных желез в период ремиссии. [1,3]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Следует учитывать особенности диагностических мероприятий у детей:</w:t>
      </w:r>
    </w:p>
    <w:p w:rsidR="00FC2419" w:rsidRDefault="00AB304C">
      <w:pPr>
        <w:pStyle w:val="LO-normal1"/>
        <w:numPr>
          <w:ilvl w:val="0"/>
          <w:numId w:val="4"/>
        </w:numPr>
        <w:spacing w:line="360" w:lineRule="auto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различный уровень объективности получаемой при расспросе информации от ребенка и третьих лиц (родители по-разному интерпретируют жалобы и анамнез);</w:t>
      </w:r>
    </w:p>
    <w:p w:rsidR="00FC2419" w:rsidRDefault="00AB304C">
      <w:pPr>
        <w:pStyle w:val="LO-normal1"/>
        <w:numPr>
          <w:ilvl w:val="0"/>
          <w:numId w:val="4"/>
        </w:numPr>
        <w:spacing w:line="360" w:lineRule="auto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субъективность ощущений ребенка при проведении диагностических тестов;</w:t>
      </w:r>
    </w:p>
    <w:p w:rsidR="00FC2419" w:rsidRDefault="00AB304C">
      <w:pPr>
        <w:pStyle w:val="LO-normal1"/>
        <w:numPr>
          <w:ilvl w:val="0"/>
          <w:numId w:val="4"/>
        </w:numPr>
        <w:spacing w:line="360" w:lineRule="auto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различный уровень взаимодействия врача, пациента и родителей;</w:t>
      </w:r>
    </w:p>
    <w:p w:rsidR="00FC2419" w:rsidRDefault="00AB304C">
      <w:pPr>
        <w:pStyle w:val="LO-normal1"/>
        <w:numPr>
          <w:ilvl w:val="0"/>
          <w:numId w:val="4"/>
        </w:numPr>
        <w:spacing w:line="360" w:lineRule="auto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невозможность проведения сложных диагностических манипуляций из-за возрастных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эмоциональных особенностей ребенка.[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0" w:name="_2jxsxqh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 Жалобы и анамнез</w:t>
      </w:r>
    </w:p>
    <w:p w:rsidR="00FC2419" w:rsidRDefault="00AB304C">
      <w:pPr>
        <w:pStyle w:val="Heading3"/>
        <w:spacing w:before="28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1" w:name="_z337ya"/>
      <w:bookmarkEnd w:id="11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2.1.1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ри сборе анамнеза необходимо учитывать: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ребенка;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сопутствующей патологии;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пациента;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давность и динамику заболевания;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травмы в прошлом и в настоящее время;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вредных привычек, наличие соматических заболеваний и аллергических реакций (обязательно должна быть заполнена анкета о здоровье ребенка);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непереносимости лекарственных препаратов и материалов, используемых на данном этапе лечения;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и регулярность индивидуальной гигиены полости рта;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предыдущие обращения к стоматологу – как вел себя ребенок, как и в каком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лечение, применялось ли ранее местное обезболивание;</w:t>
      </w:r>
    </w:p>
    <w:p w:rsidR="00FC2419" w:rsidRDefault="00AB304C">
      <w:pPr>
        <w:pStyle w:val="LO-normal1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или отсутствие дебюта заболевания в прошлом.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[4] 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 xml:space="preserve">При паротите новорожденного родители ребенка будут отмечать появление отека в ОУЖО, ухудшение самочувствия ребенка (слабость, плаксивость, повышение температуры тела, отказ от еды). 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 xml:space="preserve">При остром серозном паротите пациенты жалуются на боль в ОУО, усиливающиеся во время еды, сухость в полости рта, повышение температуры тела, родители отмечают нарушение сна.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[5, 8]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 остром воспалении поднижнечелюстной слюнной железы припухлость возникает в поднижнечелюстной области. Изменения со стороны кожи не выражены.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[8] 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>При остром гнойном паротите ребенок будет жаловаться на сухость в полости рта, снижение слуха на стороне поражения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сужения наружного слухового прохода), шум в ушах. 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некротической форме паротита открывание 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резкоболезненно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изо рта ощущается гнилостный запах. Имеются затруднения и боль при глотании.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[5]</w:t>
      </w:r>
    </w:p>
    <w:p w:rsidR="00FC2419" w:rsidRDefault="00FC2419">
      <w:pPr>
        <w:pStyle w:val="LO-normal1"/>
        <w:spacing w:line="36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2" w:name="_3j2qqm3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обследование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Медицинские услуги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физикального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обследования в соответствии с номенклатурой медицинских услуг представлены в Приложении А3.2 (табл. 1).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При осмотре младенца с паротитом сначала выявляют плотные, разлитые воспалительные инфильтраты с одной или с двух сторон в ОУЖО, Железа уплотнена, болезненна при пальпации, устье выводного протока расширено. Через 2 — 3 дня наступает гнойное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некротическое расплавление железы, при пальпации определяется флюктуация. Из протоков слюнной железы появляются гнойные выделения.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[7]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 осмотре ребенка с острым серозным паротитом выявляется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ассиметрия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лица за счет увеличения железы в объеме. Кожа над железой отечна, но в цвете не изменена. При пальпации железы определяется болезненность, особенно над вырезкой нижней челюсти, у мочки уха и верхушки сосцевидного отростка. Устье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протока зияет, слизистая вокруг 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гиперимирована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 При массаже железы из ее протока выделяется небольшое количество густой, вязкой и мутной слюны.</w:t>
      </w:r>
      <w:r w:rsidRPr="00AB30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 осмотре пациента с гнойным паротитом выявляется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выраженная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ассиметрия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лица за счет наличия инфильтрата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околоушно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жевательной области. Кожа в области инфильтрата отечна,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гиперимирована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лоснится. В складку не собирается. Пальпация железы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резкоболезненна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Мочка уха приподнята. Открывание рта ограничено и сопровождается усилением боли. Слизистая оболочка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вовкруг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устья выводного протока железы отечна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гиперимирована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При массаже железы из него выделяется скудное количество гноя.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 массаже железы пациента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некротической формой сиалоаденита отделяемого из протока получить не удается. Температур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атела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повышается до 40 — 41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С. Субфебрильная температура (на фоне данной клиники) является плохим прогностическим признаком. Общее состояние пациента оценивается как тяжелое или крайне тяжелое. Острый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— некротический сиалоаденит может сопровождаться серьезными осложнениями (отит,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медиастенит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тромбофлебит).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Получение при массировании железы чистой слюны в достаточном количестве и обнаружение «причинного» заболевания позволяют диагностировать паротит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Герценберга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(ложный паротит) и исключить острый неэпидемический сиалоаденит.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[5]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 остром воспалении поднижнечелюстной слюнной железы железа увеличивается в размерах, пальпируется в виде плотного, болезненного образования. Устье поднижнечелюстного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вартонова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 протока расширено,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гиперимировано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Слюноотделение нарушено. При массаже выделяется мутная слюна. Иногда с гноем.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[8] 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физикальном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обследовании оценивается состояние кожных покровов в области слюнных желез, слизистой оболочки в области устьев выводных протоков, наличие припухлости в области слюнной железы и ее выводного протока, консистенцию и подвижность железы, характер и количество выделяющегося секрета. </w:t>
      </w:r>
      <w:r>
        <w:rPr>
          <w:rFonts w:ascii="Times New Roman" w:eastAsia="Times New Roman" w:hAnsi="Times New Roman" w:cs="Times New Roman"/>
          <w:sz w:val="24"/>
          <w:szCs w:val="24"/>
        </w:rPr>
        <w:t>В зависимости от клинической картины выбирают метод лечения.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Внешний осмотр</w:t>
      </w:r>
    </w:p>
    <w:p w:rsidR="00FC2419" w:rsidRDefault="00AB304C">
      <w:pPr>
        <w:pStyle w:val="LO-normal1"/>
        <w:numPr>
          <w:ilvl w:val="0"/>
          <w:numId w:val="9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возможно нарушение конфигурации лица за счет припухлости околоушно-жевательной области;</w:t>
      </w:r>
    </w:p>
    <w:p w:rsidR="00FC2419" w:rsidRDefault="00AB304C">
      <w:pPr>
        <w:pStyle w:val="LO-normal1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выраженном воспалении - гиперемия и напряжение кожи над железой</w:t>
      </w:r>
    </w:p>
    <w:p w:rsidR="00FC2419" w:rsidRDefault="00FC2419">
      <w:pPr>
        <w:pStyle w:val="LO-normal1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Внутриротовое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</w:t>
      </w:r>
    </w:p>
    <w:p w:rsidR="00FC2419" w:rsidRDefault="00AB304C">
      <w:pPr>
        <w:pStyle w:val="LO-normal1"/>
        <w:numPr>
          <w:ilvl w:val="0"/>
          <w:numId w:val="8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осмотр слизистой оболочки губ, преддверия и полости рта, слизистой оболочки в области устьев выводных протоков, характер и количество выделяющегося секрета;</w:t>
      </w:r>
    </w:p>
    <w:p w:rsidR="00FC2419" w:rsidRDefault="00AB304C">
      <w:pPr>
        <w:pStyle w:val="LO-normal1"/>
        <w:numPr>
          <w:ilvl w:val="0"/>
          <w:numId w:val="8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частей зубов (изменение цвета зуба,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коронки, трещины в твердых тканях, положение зуба в зубном ряду);</w:t>
      </w:r>
    </w:p>
    <w:p w:rsidR="00FC2419" w:rsidRDefault="00AB304C">
      <w:pPr>
        <w:pStyle w:val="LO-normal1"/>
        <w:numPr>
          <w:ilvl w:val="0"/>
          <w:numId w:val="8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обнаружение и исследование кариозной полости (расположение, глубина, наличие сообщения с полостью зуба, болезненность при зондировании, наличие грануляционной ткани);</w:t>
      </w:r>
    </w:p>
    <w:p w:rsidR="00FC2419" w:rsidRDefault="00AB304C">
      <w:pPr>
        <w:pStyle w:val="LO-normal1"/>
        <w:numPr>
          <w:ilvl w:val="0"/>
          <w:numId w:val="8"/>
        </w:numPr>
        <w:spacing w:after="20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состояния всех имеющихся зубов, особенно зубов фронтального отдела (при осмотре зуба выявляется перелом коронки различной степени, изменение положения зуба в зубном ряду, что говорит о перенесенной травме).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Целенаправленно выявляют:</w:t>
      </w:r>
    </w:p>
    <w:p w:rsidR="00FC2419" w:rsidRDefault="00AB304C">
      <w:pPr>
        <w:pStyle w:val="LO-normal1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неадекватное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 пациента перед лечением;</w:t>
      </w:r>
    </w:p>
    <w:p w:rsidR="00FC2419" w:rsidRDefault="00AB304C">
      <w:pPr>
        <w:pStyle w:val="LO-normal1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острые поражения слизистой оболочки рта и красной каймы губ;</w:t>
      </w:r>
    </w:p>
    <w:p w:rsidR="00FC2419" w:rsidRDefault="00AB304C">
      <w:pPr>
        <w:pStyle w:val="LO-normal1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острые воспалительные заболевания органов и тканей рта;</w:t>
      </w:r>
    </w:p>
    <w:p w:rsidR="00FC2419" w:rsidRDefault="00AB304C">
      <w:pPr>
        <w:pStyle w:val="LO-normal1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заболевания тканей пародонта в стадии обострения;</w:t>
      </w:r>
    </w:p>
    <w:p w:rsidR="00FC2419" w:rsidRDefault="00AB304C">
      <w:pPr>
        <w:pStyle w:val="LO-normal1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неудовлетворительное гигиеническое состояние рта;</w:t>
      </w:r>
    </w:p>
    <w:p w:rsidR="00FC2419" w:rsidRDefault="00AB304C">
      <w:pPr>
        <w:pStyle w:val="LO-normal1"/>
        <w:numPr>
          <w:ilvl w:val="0"/>
          <w:numId w:val="13"/>
        </w:numPr>
        <w:spacing w:after="20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отказ от лечения.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[4]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3" w:name="_1y810tw"/>
      <w:bookmarkEnd w:id="1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2.3 Лабораторные диагностические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иследования</w:t>
      </w:r>
      <w:proofErr w:type="spellEnd"/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 остром серозном сиалоадените в крови — умеренный лейкоцитоз и увеличение СОЭ.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остром гнойном паротите в гемограмме определяется лейкоцитоз, сдвиг формулы влево, увеличение СОЭ, в моче — белок.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[5]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хронического неспецифического паренхиматозного сиалоаденита проводят цитологическое исследование секрета. В начальной клинико-рентгенологической стадии обнаруживает клетки эпителия и лимфоидного ряда; реже встречаются сегментоядерные нейтрофилы,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гистиоцитарные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клетки, цилиндрический и кубический эпителий. В поздней стадии возрастает количество клеток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гистиоцитарного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ряда, цилиндрического и кубического эпителия, появляются бокаловидные клетки.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4" w:name="_4i7ojhp"/>
      <w:bookmarkEnd w:id="1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2.4 Инструментальные диагностические исследования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оценки состояния слюнных желез проводится:</w:t>
      </w:r>
    </w:p>
    <w:p w:rsidR="00FC2419" w:rsidRDefault="00AB304C">
      <w:pPr>
        <w:pStyle w:val="LO-normal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рентгенологическое исследование обеих СЖ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контрастированием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(только в стадии ремиссии);</w:t>
      </w:r>
    </w:p>
    <w:p w:rsidR="00FC2419" w:rsidRDefault="00AB304C">
      <w:pPr>
        <w:pStyle w:val="LO-normal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эхографическое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СЖ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протоков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 период обострения, так и в период ремиссии;</w:t>
      </w:r>
    </w:p>
    <w:p w:rsidR="00FC2419" w:rsidRDefault="00AB304C">
      <w:pPr>
        <w:pStyle w:val="LO-normal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термовизиография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боковой проекции;</w:t>
      </w:r>
    </w:p>
    <w:p w:rsidR="00FC2419" w:rsidRDefault="00AB304C">
      <w:pPr>
        <w:pStyle w:val="LO-normal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МР-томографию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отдельным показаниям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15" w:name="_2xcytpi"/>
      <w:bookmarkEnd w:id="15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ные диагностические исследования</w:t>
      </w:r>
    </w:p>
    <w:p w:rsidR="00FC2419" w:rsidRDefault="00AB304C">
      <w:pPr>
        <w:pStyle w:val="Heading3"/>
        <w:spacing w:before="28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bookmarkStart w:id="16" w:name="_1ci93xb"/>
      <w:bookmarkEnd w:id="16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2.5.1. фото- и видеосъемка с помощью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внутриротовой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видеокамеры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Позволяет обнаружить, оценить патологические изменения слизистой оболочки полости рта, области выводных протоков больших слюнных желез, визуализировать результаты исследования на экране, обсудить их с пациентом и его представителями, произвести фотографирование непосредственно в полости рта.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1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3whwml4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Лечение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включая медикаментозную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немедикаментозную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Основная задача врача на первом этапе лечения — определить причину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сотрого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неэпидемического паротита, объективно оценить общее состояние ребенка и местный статус. Тактика лечения зависит от клинической формы заболевания и его осложнений, большое значение придается лечению «причинного» заболевания.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[5]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паротите новорожденного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дни заболевания показано интенсивное консервативное лечение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дезинтоксикационная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симптоматическая, антибактериальная терапия). Мазевые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спирто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масляные компрессы на область железы. При гнойном расплавлении железы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абсцедировании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наружнее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хирургическое вскрытие очага.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[7]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стадии катарального (серозного) воспаления комплекс лечебных мероприятий направлен на прекращение воспалительных явлений и восстановление слюноотделения. Для нормализации слюноотделения применяют промывание железы через выводной проток растворами антисептиков, антибиотиков с местными анестетиками, растворами ферментов. После этого осуществляют ее легкий массаж, назначают слюногонную диету.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Назначают физиотерапию (сухое тепло, УВЧ, УФО,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магнито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и лазеротерапию. </w:t>
      </w:r>
      <w:proofErr w:type="gramEnd"/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нарастании воспаления, появлении гноя из протока железы, добавляют антибактериальную,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гипосенсибилизирующую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терапию. Антибиотики назначают в зависимости от чувствительности микрофлоры, для чего берут на посев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отделяемое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выводного протока железы.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гнойном расплавлении железы в стационаре проводят оперативное вмешательство, обеспечивающее дренирование гнойного очага воспаления.</w:t>
      </w:r>
      <w:r w:rsidRPr="00AB3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необходимо дренирование железы через главный выводной проток путем промывания его растворами антисептиков, антибиотиков. Вводят антибактериальную,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гипосенсибилизирующую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терапию. После операции назначают физиотерапию: УФО, УВЧ.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гангренозном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гнойно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некротическом) сиалоадените, сопровождающемся некрозом обширных участков или всей железы, показано срочное вскрытие капсулы железы несколькими разрезами. После операции 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орашают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антисептиками, дренируют турундами с гипертоническим раствором. Особенность течения процесса при некрозе слюнной железы — длительность отторжения некротических участков паренхимы (2 — 3 недели). При данной форме заболевания эффективным методом комплексного лечения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гипербарическая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оксигенация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 учетом тяжелого или крайне тяжелого (септического) состояния ребенка. Помимо хирургического вмешательства, показана интенсивная терапия в условиях отделения интенсивной терапии и реабилитации.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[5]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детей с хроническим паренхиматозным паротитом сопряжено с трудностями ввиду отсутствия четких представлений об этиологии и патогенезе заболевания. Проводят комплексную симптоматическую терапию с патогенетической направленностью: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медикаментозное лечение в период обострения, включающее антибактериальные и противовоспалительные мероприятия;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воздействие на патологический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сс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юнной железе, направленное на улучшение трофики ее тканей, повышение функции, предупреждение обострения заболевания (комплекс лечебных мероприятий проводят по разработанной схеме в зависимости от периода воспалительного процесса: обострения или ремиссии);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ремиссии - коррекция нарушенного иммунитета (повышение неспецифической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организма), особенно весной и осенью;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снижение токсического воздействия на организм системных заболеваний, характерных для каждой формы хронического сиалоаденита;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хирургическое лечение при неэффективности консервативного лечения. </w:t>
      </w:r>
    </w:p>
    <w:p w:rsidR="00FC2419" w:rsidRDefault="00AB304C">
      <w:pPr>
        <w:pStyle w:val="LO-normal1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продолжительность заболевания, тенденцию к прогрессированию патологических изменений в паренхиме желез и необходимость профилактической терапии в период ремиссии, необходимо наблюдение и лечение детей в процессе диспансеризации. Вследствие врожденных изменений в слюнных железах рассчитывать на полное выздоровление не приходится, поэтому за выздоровление принимают условное состояние, при котором слюнные железы не беспокоят пациента более 3 лет. Если период ремиссии составляет от года до 3 лет, то такое состояние оценивают как “улучшение”, если ремиссия продолжается да года, то состояние больного оценивают как “без перемен”.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8" w:name="_2bn6wsx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3.1 Комплексное медикаментозное лечение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период обострения процесса проводят антибактериальное и противовоспалительное медикаментозное лечение.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дней, когда воспалительные явления нарастают, целесообразна терапия с рациональным применением антибиотиков широкого спектра действия, десенсибилизирующих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дегидратирующих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препаратов. Противовоспалительную терапию необходимо проводить на фоне щадящей, не слюногонной диеты.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гнойного отделяемого из околоушного протока или выделения секрета с примесью гноя ежедневно делают инстилляции растворов ферментов (трипсин, химотрипсин), используя их способность расщеплять при местном воздействии фибринозные образования, разжижать вязкий секрет, оказывать противовоспалительное,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дегидратационное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антикоагуляционное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антисептическое действие, повышать фагоцитарную функцию лейкоцитов, стимулировать процессы репарации. Сначала проводят инстилляцию - в проток вводят раствор ферментов (химотрипсин, трипсин), далее раствор антисептиков (0,05%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хлоргексидин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мирамистин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около 1 мл раствора антибиотиков (50000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пенициллина и 100000 ЕД стрептомицина в 2 мл 0,5: раствора новокаина) и, массируя железу, освобождают протоки от содержимого. Такое введение в протоки повторяют несколько раз до тех пор, пока не будут отмыты все слизисто-гнойные массы. Такое лечение повторяют ежедневно до полного прекращения гнойных выделений из протоков.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Медикаментозное лечение сочетают с воздействием физических факторов (УВЧ-терапия,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флюктуоризация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лазерное облучение и др.) и ГБО.  Местно применяют также мазевые компрессы (мазь Вишневского,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Левомеколь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компрессы с 30-50% раствором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диметилсульфоксида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димексида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Диметилсульфоксид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улучшает тканевую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микроциркуляцию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оказывает анальгезирующее и бактериостатическое действие, способствует проведению лекарственных веществ через кожу.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лечении воспалительные явления быстро купируются: ликвидируются припухлость и боль, усиливается саливация, но в слюне сохраняются примеси, в связи с чем этот период (с 8-го по 14-й день) целесообразно назначить слюногонную диету, медикаментозные препараты, усиливающие секрецию слюнных желез, физиотерапевтические процедуры, такие как УВЧ-терапия, которая приводит к расширению сосудов, активации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лимфообразования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обладает противовоспалительным действием, увеличивает регенерацию поврежденных тканей, снижает спазм сосудов и устраняет боль.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[1,2,3]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9" w:name="_3as4poj"/>
      <w:bookmarkEnd w:id="19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3.2 Лечение, направленное на предупреждение обострения заболевания</w:t>
      </w:r>
    </w:p>
    <w:p w:rsidR="00FC2419" w:rsidRDefault="00AB304C">
      <w:pPr>
        <w:pStyle w:val="LO-normal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Больным с хроническими паренхиматозными сиалоаденитами с лечебной целью периодически, раз в 3-4 месяца, проводят наливку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йодиполом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вещество, задерживаясь в полостях, образовавшихся в паренхиме железы, препятствует возникновению обострения процесса, а постепенно отщепляющийся йод замедляет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склерозирования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железы. </w:t>
      </w:r>
    </w:p>
    <w:p w:rsidR="00FC2419" w:rsidRDefault="00AB304C">
      <w:pPr>
        <w:pStyle w:val="LO-normal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Широко известным методом лечения сиалоаденитов является применение йодистого калия. Он обладает антисептическим действием, увеличивает  саливацию. Курс рассчитан от 14 до 30 дней по 1 столовой ложке 3 раза в день после еды (желательно запивать молоком, чтобы снизить риск раздражения ЖКТ), через 3-4 месяца курс лечения следует повторить.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Йодид калия необходимо назначать детям в разной дозировке в зависимости от их возрастной группы: до 3 лет - 0,25%; от 3-7 лет - 0,5%; с 7-10 лет - 1%; с 10-15 лет - 2%. При появлении симптомов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йодизма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(насморк, слезотечение, кожные высыпания) следует уменьшить концентрацию раствора, а если симптомы осложнения не исчезают - совсем прекратить лечение йодистым калием.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[1,2]</w:t>
      </w:r>
      <w:proofErr w:type="gramEnd"/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 B (уровень достоверности доказательств – 2)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</w:pPr>
      <w:bookmarkStart w:id="20" w:name="_pp5nkgq8gcdx"/>
      <w:bookmarkEnd w:id="2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3.3 Лечение, направленное на коррекцию нарушенного иммунитета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ремиссии рекомендовано систематическое проведение комплексного лечения (2-4 курса в год), включающего общеукрепляющую терапию - витамины,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иммуноактивные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препараты,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гипосенсибилизирующие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средства, физиотерапевтические процедуры, закаливание организма, санацию очагов хронических инфекций.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[2]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1" w:name="_g9vixotcb8qn"/>
      <w:bookmarkEnd w:id="2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3.4 Лечение, направленное снижение токсического воздействия на организм системных заболеваний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этой целью необходимо больных сиалоаденитом направлять к профильным специалистам для лечения сопутствующих заболеваний. Особое внимание следует обращать на заболевания пищеварительной системы и эндокринных органов.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[1]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2" w:name="_edjg35l6vea4"/>
      <w:bookmarkEnd w:id="2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3.5 Хирургическое лечение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Хирургические методы применяют редко и проводят при неэффективности методов консервативного лечения, частых обострениях воспалительного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(от 6 до 10 раз в год), сопровождающихся нагноением железы, при значительном нарушении функции слюнной железы, наличии стриктуры и атрезии околоушного или поднижнечелюстного протока.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зависимости от патологического процесса применяют различные хирургические методы: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околоушного или поднижнечелюстного протока; операция по созданию нового устья протока по методу В.В. Афанасьева и В.С. Стародубцева (1994);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субтотальную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тотальную резекцию околоушной слюнной железы с сохранением ветвей лицевого нерва; перевязку околоушного протока.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[3]</w:t>
      </w:r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23" w:name="_2p2csry"/>
      <w:bookmarkEnd w:id="23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4. Медицинская реабилитация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санаторно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—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период ремиссии рекомендуется систематическое проведение комплексного лечения (2-4 курса в год), включающего общеукрепляющую терапию: витамины,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иммуноактивные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препараты,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гипосенсибилизирующие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средства, физиотерапевтические процедуры, закаливание организма, санацию очагов хронических инфекций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полости рта  и ЛОР - органах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[2,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:rsidR="00FC2419" w:rsidRDefault="00AB304C">
      <w:pPr>
        <w:pStyle w:val="Heading1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147n2zr"/>
      <w:bookmarkEnd w:id="24"/>
      <w:r>
        <w:rPr>
          <w:rFonts w:ascii="Times New Roman" w:eastAsia="Times New Roman" w:hAnsi="Times New Roman" w:cs="Times New Roman"/>
          <w:b/>
          <w:sz w:val="28"/>
          <w:szCs w:val="28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FC2419" w:rsidRDefault="00AB304C">
      <w:pPr>
        <w:pStyle w:val="Heading2"/>
        <w:keepNext w:val="0"/>
        <w:keepLines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5" w:name="_3o7alnk"/>
      <w:bookmarkEnd w:id="25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  Профилактика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основным лечебно-реабилитационным мероприятиям при хронических воспалительных заболеваниях слюнных желез относят: физические методы лечения; средства, стимулирующие белковый обмен и неспецифическую иммунологическую реактивность организма; ГБО; систематическая санация полости рта, зева, носоглотки, придаточных пазух носа;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режим дня и диета с включением витаминизированной пищи (плоды шиповника, капуста, лимоны, апельсины, фрукты, ягоды, печень, мозг, геркулес, гречиха, хлеб грубого помола, мясные и молочные продукты, яйца, рыба) и продуктов, способствующих слюноотделению (кислые свежие фрукты, овощи); общее закаливание организма: водные процедуры - обтирания, обливания, купание в реке и море, плавание в бассейне, положительная эмоциональная настроенность ребенка. [2,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proofErr w:type="gramEnd"/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C2419" w:rsidRDefault="00AB304C">
      <w:pPr>
        <w:pStyle w:val="Heading2"/>
        <w:keepNext w:val="0"/>
        <w:keepLines w:val="0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6" w:name="_23ckvvd"/>
      <w:bookmarkEnd w:id="2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5.2  Диспансеризация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 хроническими воспалительными заболеваниями слюнных желез должны быть поставлены на диспансерный учет и осмотр их должен осуществляться хирургом-стоматологом вне обострения - 1 раз в 3-4 месяца в течение первого года; на втором году - 1 раз в 6 месяцев; а также необходим осмотр детским стоматологом 1 раз в 6 месяцев. Рекомендовано наблюдение смежными специалистами: педиатр,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иммунолог,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реабилитолог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ЧЛО, требующие фиксации в медицинской документации: размеры, плотность, подвижность, болезненность слюнных желез, состояние выводного протока слюнной железы, объем и характер выделяемой слюны; состояние регионального лимфатического аппарата зубов и слизистой оболочки полости рта,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ЛОР-органов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методом исследования, необходимым к проведению в рамках плановой диспансеризации: рентгенография слюнных желез 1 раз в 6 месяцев на первом году; УЗИ, цитологическое исследование слюны по показаниям; клинические анализы крови и мочи,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Критериями эффективности диспансеризации и поводом для снятия учета служат: в связи с тенденцией к прогрессированию патологических изменений в паренхиме желез и необходимостью проведения профилактической терапии в период ремиссии, пациента не снимают с учета до 18 лет, наблюдение осуществляется до передачи в поликлинику для взрослых. При отсутствии обострения процесса можно изменить кратность наблюдения до 1 раза в год.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[2]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Уровень убедительности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 xml:space="preserve"> (уровень достоверности доказательств – 2)</w:t>
      </w:r>
    </w:p>
    <w:p w:rsidR="00FC2419" w:rsidRDefault="00AB304C">
      <w:pPr>
        <w:pStyle w:val="Heading1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ihv636"/>
      <w:bookmarkEnd w:id="27"/>
      <w:r>
        <w:rPr>
          <w:rFonts w:ascii="Times New Roman" w:eastAsia="Times New Roman" w:hAnsi="Times New Roman" w:cs="Times New Roman"/>
          <w:b/>
          <w:sz w:val="28"/>
          <w:szCs w:val="28"/>
        </w:rPr>
        <w:t>6.  Организация медицинской помощи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Вид медицинской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>: первичная медико-санитарная помощь.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Условия оказания медицинской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 условиях стационара,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амбулаторно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комплекса лечения зависит от формы, стадии хронического сиалоаденита, и активности процесса. Особенно важна при лечении больных сиалоаденитами профилактическая направленность: диспансерное обслуживание и организация специализированных лечебно-диагностических центров.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оказании специализированной помощи больным с воспалительными заболеваниями слюнных желез на первый план выступают взаимодействие и преемственность между врачами-стоматологами районного звена и врачами консультативно-диагностических центров по заболеваниям слюнных желез.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 проведения лечебных мероприятий определяется тяжестью течения сиалоаденита, комплексом лечебных методов, которые осуществляют как в условиях стационара, так и поликлиники в зависимости от объема хирургических и терапевтических мероприятий, а также социально-бытовых условий больного. 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“выздоровление” у больных хроническим сиалоаденитом наступает в среднем у 36% пациентов, “улучшение” - у 53%, состояние “без перемен” - у 9%, “ухудшение” - у 2% больных. Это подтверждает значительные трудности, встречающиеся при лечении данной категории пациентов, обусловленные этиологическими и патогенетическими факторами. В связи с этим при лечении больных хроническим сиалоаденитом необходимо считать особенно важной профилактическую направленность: диспансерное обслуживание и организацию специализированных лечебно-диагностических центров.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[3]</w:t>
      </w:r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keepLines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Дополнительная информация, (в том числе факторы, влияющие на исход заболевания или состояния)</w:t>
      </w: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режиму труда, отдыха, лечения и реабилитации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введения пациента в период ремиссии, необходимо проведение профилактических и реабилитационных мероприятий, которые включают в себя: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медикаментов, повышающих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неспецифическую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резистентность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организма: натрия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нуклеинат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по 4 курса в год), поливитамины (по 2 курса в год);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стенонов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йодолипола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- через 2-3 месяца в течение года, при неактивном течении - 1 раз в 6-12 месяцев);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лечение физическими факторами - электрофорез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галантамина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калия йодида 6%, токи УВЧ,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магнитолазеротерапия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- 3-4 курса в год, при неактивном - 2 курса в год);</w:t>
      </w:r>
      <w:proofErr w:type="gramEnd"/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санация очагов хронической инфекции полости рта и носоглотки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общеукрепляющее лечение: коррекция режима дня и питания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положительная эмоциональная настроенность ребенка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продолжительность заболевания, тенденцию к прогрессированию патологических изменений в паренхиме желез и проведение профилактической терапии в период ремиссии, необходимы наблюдение и лечение детей в системе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диспансеризации, что приводит к сокращению частоты обострений и в дальнейшем к клиническому выздоровлению ребенка, хотя рентгенологически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эхографически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репродуктивных изменений в СЖ выявить не удается.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[1]</w:t>
      </w:r>
      <w:proofErr w:type="gramEnd"/>
    </w:p>
    <w:p w:rsidR="00FC2419" w:rsidRDefault="00FC2419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3"/>
        <w:tabs>
          <w:tab w:val="left" w:pos="5430"/>
        </w:tabs>
        <w:spacing w:before="28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8" w:name="_32hioqz"/>
      <w:bookmarkEnd w:id="28"/>
      <w:r>
        <w:rPr>
          <w:rFonts w:ascii="Times New Roman" w:eastAsia="Times New Roman" w:hAnsi="Times New Roman" w:cs="Times New Roman"/>
          <w:b/>
          <w:color w:val="000000"/>
        </w:rPr>
        <w:t>Критерии оценки качества медицинской помощи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Группа заболеваний или состояний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хронические воспалительные заболевания слюнных желез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Код/коды по МКБ-10: К11.02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Формы, виды и условия оказания медицинской помощи:</w:t>
      </w:r>
    </w:p>
    <w:p w:rsidR="00FC2419" w:rsidRDefault="00AB304C">
      <w:pPr>
        <w:pStyle w:val="LO-normal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 в поликлинику с целью консультации;</w:t>
      </w:r>
    </w:p>
    <w:p w:rsidR="00FC2419" w:rsidRDefault="00AB304C">
      <w:pPr>
        <w:pStyle w:val="LO-normal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плановое консервативное лечение хронического неспецифического паренхиматозного паротита в поликлинике;</w:t>
      </w:r>
    </w:p>
    <w:p w:rsidR="00FC2419" w:rsidRDefault="00AB304C">
      <w:pPr>
        <w:pStyle w:val="LO-normal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в условиях стационара при неэффективности амбулаторного ведения пациента с возникновением осложнений и в случае активной формы заболевания с частыми обострениями.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9825" w:type="dxa"/>
        <w:tblInd w:w="-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5"/>
        <w:gridCol w:w="6495"/>
        <w:gridCol w:w="1246"/>
        <w:gridCol w:w="1259"/>
      </w:tblGrid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выполнения</w:t>
            </w:r>
          </w:p>
        </w:tc>
      </w:tr>
      <w:tr w:rsidR="00FC2419">
        <w:trPr>
          <w:trHeight w:val="787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0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Событийные (смысловые, содержательные, процессуальные) критерии качества 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Проводилось ли при постановке диагноза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анамнеза заболевания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анамнез жизни и перенесенные заболевания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местных изменений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клинические анализы крови и мочи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иммунного статуса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эхографическое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 СЖ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сиалография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специальным показаниям)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ортопантомосиалография</w:t>
            </w:r>
            <w:proofErr w:type="spellEnd"/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термовизиография</w:t>
            </w:r>
            <w:proofErr w:type="spellEnd"/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МР-томография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отдельным показаниям)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цитологическое исследование секрета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Проводилось ли в ходе лечебных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антибактериальная терапия с использованием антисептиков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противовоспалительная терапия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гипосенсибилизирующая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терапия, повышающая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организма, общеукрепляющее лечение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инстилляция проток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 физическими факторами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обострения воспалительного процесса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Временные критерии качества</w:t>
            </w:r>
          </w:p>
        </w:tc>
      </w:tr>
      <w:tr w:rsidR="00FC2419">
        <w:trPr>
          <w:trHeight w:val="280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ремиссия более 3 лет  - “выздоровление”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rPr>
          <w:trHeight w:val="280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ремиссия от года до 3 лет - “улучшение”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ремиссия до года - “без перемен”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Результативные критерии качества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tabs>
                <w:tab w:val="left" w:pos="0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подъемов температуры тела и ухудшения общего состояния организма ребенка, связанных с воспалением слюнных желез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боли и припухлости в области слюнных желез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гиперемии и напряжения кожи над железой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патологических выделений из протоков СЖ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Дополнительные критерии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осложнений после проведения медикаментозного лечения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осложнений основного заболевания в виде нагноения железы, значительного нарушения функции СЖ,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наличии стриктуры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атрезии протока СЖ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ухудшения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общесоматического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ребенка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послеоперационного рубца, либо его минимальный размер в случае необходимости проведения хирургического лечения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  <w:tr w:rsidR="00FC2419"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рекомендаций о профилактике обострения воспалительных заболеваний слюнных желез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□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2419" w:rsidRDefault="00AB304C">
            <w:pPr>
              <w:pStyle w:val="LO-normal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□</w:t>
            </w:r>
          </w:p>
        </w:tc>
      </w:tr>
    </w:tbl>
    <w:p w:rsidR="00FC2419" w:rsidRDefault="00AB304C">
      <w:pPr>
        <w:pStyle w:val="Heading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1hmsyys"/>
      <w:bookmarkEnd w:id="29"/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C2419" w:rsidRDefault="00AB304C">
      <w:pPr>
        <w:pStyle w:val="LO-normal1"/>
        <w:numPr>
          <w:ilvl w:val="0"/>
          <w:numId w:val="6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Дьякова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Топольницкий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О.З., Елизарова В.М. Стоматология детская. Хирургия. - Москва: Медицина, 2009; с.87, 162-170.</w:t>
      </w:r>
    </w:p>
    <w:p w:rsidR="00FC2419" w:rsidRDefault="00AB304C">
      <w:pPr>
        <w:pStyle w:val="LO-normal1"/>
        <w:numPr>
          <w:ilvl w:val="0"/>
          <w:numId w:val="6"/>
        </w:numPr>
        <w:spacing w:line="360" w:lineRule="auto"/>
        <w:ind w:left="0" w:firstLine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Топольницкий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О.З.,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В.П., Дьякова С.В. Стоматология детского возраста в трех частях. Часть 2. Хирургия. -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2016; с.131-140, 304-305.</w:t>
      </w:r>
    </w:p>
    <w:p w:rsidR="00FC2419" w:rsidRDefault="00AB304C">
      <w:pPr>
        <w:pStyle w:val="LO-normal1"/>
        <w:numPr>
          <w:ilvl w:val="0"/>
          <w:numId w:val="6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Кулаков А.А., Робустова Т.Г.,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Неробеев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 Хирургическая стоматология и челюстно-лицевая хирургия. Национальное руководство. -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2010; с.427-431, 447-448.</w:t>
      </w:r>
    </w:p>
    <w:p w:rsidR="00FC2419" w:rsidRDefault="00AB304C">
      <w:pPr>
        <w:pStyle w:val="LO-normal"/>
        <w:numPr>
          <w:ilvl w:val="0"/>
          <w:numId w:val="6"/>
        </w:numPr>
        <w:spacing w:before="120" w:after="0" w:line="360" w:lineRule="auto"/>
        <w:ind w:left="0" w:firstLine="0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szCs w:val="24"/>
        </w:rPr>
        <w:t>Янушевич</w:t>
      </w:r>
      <w:proofErr w:type="spellEnd"/>
      <w:r>
        <w:rPr>
          <w:rFonts w:eastAsia="Times New Roman" w:cs="Times New Roman"/>
          <w:szCs w:val="24"/>
        </w:rPr>
        <w:t xml:space="preserve"> О. О., </w:t>
      </w:r>
      <w:proofErr w:type="spellStart"/>
      <w:r>
        <w:rPr>
          <w:rFonts w:eastAsia="Times New Roman" w:cs="Times New Roman"/>
          <w:szCs w:val="24"/>
        </w:rPr>
        <w:t>Кисельникова</w:t>
      </w:r>
      <w:proofErr w:type="spellEnd"/>
      <w:r>
        <w:rPr>
          <w:rFonts w:eastAsia="Times New Roman" w:cs="Times New Roman"/>
          <w:szCs w:val="24"/>
        </w:rPr>
        <w:t xml:space="preserve"> Л. П., </w:t>
      </w:r>
      <w:proofErr w:type="spellStart"/>
      <w:r>
        <w:rPr>
          <w:rFonts w:eastAsia="Times New Roman" w:cs="Times New Roman"/>
          <w:szCs w:val="24"/>
        </w:rPr>
        <w:t>Топольницкий</w:t>
      </w:r>
      <w:proofErr w:type="spellEnd"/>
      <w:r>
        <w:rPr>
          <w:rFonts w:eastAsia="Times New Roman" w:cs="Times New Roman"/>
          <w:szCs w:val="24"/>
        </w:rPr>
        <w:t xml:space="preserve"> О. З. </w:t>
      </w:r>
      <w:r>
        <w:rPr>
          <w:rFonts w:eastAsia="Times New Roman" w:cs="Times New Roman"/>
          <w:color w:val="000000"/>
          <w:szCs w:val="24"/>
        </w:rPr>
        <w:t xml:space="preserve">Детская стоматология: учебник – </w:t>
      </w:r>
      <w:proofErr w:type="spellStart"/>
      <w:r>
        <w:rPr>
          <w:rFonts w:eastAsia="Times New Roman" w:cs="Times New Roman"/>
          <w:color w:val="000000"/>
          <w:szCs w:val="24"/>
        </w:rPr>
        <w:t>М.:ГЭОТАР-Медиа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2020</w:t>
      </w:r>
      <w:r>
        <w:rPr>
          <w:rFonts w:eastAsia="Times New Roman" w:cs="Times New Roman"/>
          <w:szCs w:val="24"/>
        </w:rPr>
        <w:t>;</w:t>
      </w:r>
      <w:r>
        <w:rPr>
          <w:rFonts w:eastAsia="Times New Roman" w:cs="Times New Roman"/>
          <w:color w:val="000000"/>
          <w:szCs w:val="24"/>
        </w:rPr>
        <w:t xml:space="preserve"> 7</w:t>
      </w:r>
      <w:r>
        <w:rPr>
          <w:rFonts w:eastAsia="Times New Roman" w:cs="Times New Roman"/>
          <w:szCs w:val="24"/>
        </w:rPr>
        <w:t xml:space="preserve">44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color w:val="000000"/>
          <w:szCs w:val="24"/>
        </w:rPr>
        <w:t>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Корсак А. К. Детская хирургическая стоматология. - </w:t>
      </w:r>
      <w:proofErr w:type="spellStart"/>
      <w:r>
        <w:rPr>
          <w:rFonts w:eastAsia="Times New Roman" w:cs="Times New Roman"/>
          <w:szCs w:val="24"/>
        </w:rPr>
        <w:t>Минск</w:t>
      </w:r>
      <w:proofErr w:type="gramStart"/>
      <w:r>
        <w:rPr>
          <w:rFonts w:eastAsia="Times New Roman" w:cs="Times New Roman"/>
          <w:szCs w:val="24"/>
        </w:rPr>
        <w:t>:В</w:t>
      </w:r>
      <w:proofErr w:type="gramEnd"/>
      <w:r>
        <w:rPr>
          <w:rFonts w:eastAsia="Times New Roman" w:cs="Times New Roman"/>
          <w:szCs w:val="24"/>
        </w:rPr>
        <w:t>ышэйшая</w:t>
      </w:r>
      <w:proofErr w:type="spellEnd"/>
      <w:r>
        <w:rPr>
          <w:rFonts w:eastAsia="Times New Roman" w:cs="Times New Roman"/>
          <w:szCs w:val="24"/>
        </w:rPr>
        <w:t xml:space="preserve"> школа, 2013; 527 с.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Рогинский В. В. Воспалительные заболевания в </w:t>
      </w:r>
      <w:proofErr w:type="spellStart"/>
      <w:r>
        <w:rPr>
          <w:rFonts w:eastAsia="Times New Roman" w:cs="Times New Roman"/>
          <w:szCs w:val="24"/>
        </w:rPr>
        <w:t>челюстно</w:t>
      </w:r>
      <w:proofErr w:type="spellEnd"/>
      <w:r>
        <w:rPr>
          <w:rFonts w:eastAsia="Times New Roman" w:cs="Times New Roman"/>
          <w:szCs w:val="24"/>
        </w:rPr>
        <w:t xml:space="preserve"> — лицевой области у детей. - М.: </w:t>
      </w:r>
      <w:proofErr w:type="spellStart"/>
      <w:r>
        <w:rPr>
          <w:rFonts w:eastAsia="Times New Roman" w:cs="Times New Roman"/>
          <w:szCs w:val="24"/>
        </w:rPr>
        <w:t>Детстомиздат</w:t>
      </w:r>
      <w:proofErr w:type="spellEnd"/>
      <w:r>
        <w:rPr>
          <w:rFonts w:eastAsia="Times New Roman" w:cs="Times New Roman"/>
          <w:szCs w:val="24"/>
        </w:rPr>
        <w:t>, 1998; 272 с.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Зеленский</w:t>
      </w:r>
      <w:proofErr w:type="spellEnd"/>
      <w:r>
        <w:rPr>
          <w:rFonts w:eastAsia="Times New Roman" w:cs="Times New Roman"/>
          <w:szCs w:val="24"/>
        </w:rPr>
        <w:t xml:space="preserve"> В. А., </w:t>
      </w:r>
      <w:proofErr w:type="spellStart"/>
      <w:r>
        <w:rPr>
          <w:rFonts w:eastAsia="Times New Roman" w:cs="Times New Roman"/>
          <w:szCs w:val="24"/>
        </w:rPr>
        <w:t>Мухорамов</w:t>
      </w:r>
      <w:proofErr w:type="spellEnd"/>
      <w:r>
        <w:rPr>
          <w:rFonts w:eastAsia="Times New Roman" w:cs="Times New Roman"/>
          <w:szCs w:val="24"/>
        </w:rPr>
        <w:t xml:space="preserve"> Ф. С. Детская хирургическая стоматология и </w:t>
      </w:r>
      <w:proofErr w:type="spellStart"/>
      <w:r>
        <w:rPr>
          <w:rFonts w:eastAsia="Times New Roman" w:cs="Times New Roman"/>
          <w:szCs w:val="24"/>
        </w:rPr>
        <w:t>челюстно</w:t>
      </w:r>
      <w:proofErr w:type="spellEnd"/>
      <w:r>
        <w:rPr>
          <w:rFonts w:eastAsia="Times New Roman" w:cs="Times New Roman"/>
          <w:szCs w:val="24"/>
        </w:rPr>
        <w:t xml:space="preserve"> — лицевая хирургия. - М.: ГЕОТАР — </w:t>
      </w:r>
      <w:proofErr w:type="spellStart"/>
      <w:r>
        <w:rPr>
          <w:rFonts w:eastAsia="Times New Roman" w:cs="Times New Roman"/>
          <w:szCs w:val="24"/>
        </w:rPr>
        <w:t>Медиа</w:t>
      </w:r>
      <w:proofErr w:type="spellEnd"/>
      <w:r>
        <w:rPr>
          <w:rFonts w:eastAsia="Times New Roman" w:cs="Times New Roman"/>
          <w:szCs w:val="24"/>
        </w:rPr>
        <w:t>, 2008; 208 с.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Виноградова Т. Ф. Стоматология детского возраста. М.: Медицина, 1987; 528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szCs w:val="24"/>
        </w:rPr>
        <w:t>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Робустова Т. Г. Хирургическая стоматология. - М.: Медицина, 2003; 504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szCs w:val="24"/>
        </w:rPr>
        <w:t>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Харьков Л. В., </w:t>
      </w:r>
      <w:proofErr w:type="spellStart"/>
      <w:r>
        <w:rPr>
          <w:rFonts w:eastAsia="Times New Roman" w:cs="Times New Roman"/>
          <w:szCs w:val="24"/>
        </w:rPr>
        <w:t>Яковенко</w:t>
      </w:r>
      <w:proofErr w:type="spellEnd"/>
      <w:r>
        <w:rPr>
          <w:rFonts w:eastAsia="Times New Roman" w:cs="Times New Roman"/>
          <w:szCs w:val="24"/>
        </w:rPr>
        <w:t xml:space="preserve"> Л. Н., Чехова И. Л. Хирургическая стоматология и </w:t>
      </w:r>
      <w:proofErr w:type="spellStart"/>
      <w:r>
        <w:rPr>
          <w:rFonts w:eastAsia="Times New Roman" w:cs="Times New Roman"/>
          <w:szCs w:val="24"/>
        </w:rPr>
        <w:t>челюстно</w:t>
      </w:r>
      <w:proofErr w:type="spellEnd"/>
      <w:r>
        <w:rPr>
          <w:rFonts w:eastAsia="Times New Roman" w:cs="Times New Roman"/>
          <w:szCs w:val="24"/>
        </w:rPr>
        <w:t xml:space="preserve"> — лицевая хирургия детского возраста. - М.: Книга плюс, 2005; 470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szCs w:val="24"/>
        </w:rPr>
        <w:t>.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Тимофеев А. А. Руководство по </w:t>
      </w:r>
      <w:proofErr w:type="spellStart"/>
      <w:r>
        <w:rPr>
          <w:rFonts w:eastAsia="Times New Roman" w:cs="Times New Roman"/>
          <w:szCs w:val="24"/>
        </w:rPr>
        <w:t>челюстно</w:t>
      </w:r>
      <w:proofErr w:type="spellEnd"/>
      <w:r>
        <w:rPr>
          <w:rFonts w:eastAsia="Times New Roman" w:cs="Times New Roman"/>
          <w:szCs w:val="24"/>
        </w:rPr>
        <w:t xml:space="preserve"> — лицевой хирургии и хирургической стоматологии. - Киев: </w:t>
      </w:r>
      <w:proofErr w:type="spellStart"/>
      <w:r>
        <w:rPr>
          <w:rFonts w:eastAsia="Times New Roman" w:cs="Times New Roman"/>
          <w:szCs w:val="24"/>
        </w:rPr>
        <w:t>Червона</w:t>
      </w:r>
      <w:proofErr w:type="spellEnd"/>
      <w:r>
        <w:rPr>
          <w:rFonts w:eastAsia="Times New Roman" w:cs="Times New Roman"/>
          <w:szCs w:val="24"/>
        </w:rPr>
        <w:t xml:space="preserve"> Рута — </w:t>
      </w:r>
      <w:proofErr w:type="spellStart"/>
      <w:r>
        <w:rPr>
          <w:rFonts w:eastAsia="Times New Roman" w:cs="Times New Roman"/>
          <w:szCs w:val="24"/>
        </w:rPr>
        <w:t>Турс</w:t>
      </w:r>
      <w:proofErr w:type="spellEnd"/>
      <w:r>
        <w:rPr>
          <w:rFonts w:eastAsia="Times New Roman" w:cs="Times New Roman"/>
          <w:szCs w:val="24"/>
        </w:rPr>
        <w:t xml:space="preserve">, 2012;1010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szCs w:val="24"/>
        </w:rPr>
        <w:t xml:space="preserve">. </w:t>
      </w:r>
    </w:p>
    <w:p w:rsidR="00FC2419" w:rsidRDefault="00AB304C">
      <w:pPr>
        <w:pStyle w:val="LO-normal"/>
        <w:numPr>
          <w:ilvl w:val="0"/>
          <w:numId w:val="6"/>
        </w:numPr>
        <w:shd w:val="clear" w:color="auto" w:fill="FFFFFF"/>
        <w:tabs>
          <w:tab w:val="left" w:pos="735"/>
        </w:tabs>
        <w:spacing w:after="0" w:line="360" w:lineRule="auto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Железный П. А., </w:t>
      </w:r>
      <w:proofErr w:type="spellStart"/>
      <w:r>
        <w:rPr>
          <w:rFonts w:eastAsia="Times New Roman" w:cs="Times New Roman"/>
          <w:szCs w:val="24"/>
        </w:rPr>
        <w:t>Колыбекин</w:t>
      </w:r>
      <w:proofErr w:type="spellEnd"/>
      <w:r>
        <w:rPr>
          <w:rFonts w:eastAsia="Times New Roman" w:cs="Times New Roman"/>
          <w:szCs w:val="24"/>
        </w:rPr>
        <w:t xml:space="preserve"> М. В., Изюмов А. О. Характеристика </w:t>
      </w:r>
      <w:proofErr w:type="spellStart"/>
      <w:r>
        <w:rPr>
          <w:rFonts w:eastAsia="Times New Roman" w:cs="Times New Roman"/>
          <w:szCs w:val="24"/>
        </w:rPr>
        <w:t>одонтогенных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неодонтогенных</w:t>
      </w:r>
      <w:proofErr w:type="spellEnd"/>
      <w:r>
        <w:rPr>
          <w:rFonts w:eastAsia="Times New Roman" w:cs="Times New Roman"/>
          <w:szCs w:val="24"/>
        </w:rPr>
        <w:t xml:space="preserve"> воспалительных процессов </w:t>
      </w:r>
      <w:proofErr w:type="spellStart"/>
      <w:r>
        <w:rPr>
          <w:rFonts w:eastAsia="Times New Roman" w:cs="Times New Roman"/>
          <w:szCs w:val="24"/>
        </w:rPr>
        <w:t>челюстно</w:t>
      </w:r>
      <w:proofErr w:type="spellEnd"/>
      <w:r>
        <w:rPr>
          <w:rFonts w:eastAsia="Times New Roman" w:cs="Times New Roman"/>
          <w:szCs w:val="24"/>
        </w:rPr>
        <w:t xml:space="preserve"> — лицевой области в </w:t>
      </w:r>
      <w:proofErr w:type="spellStart"/>
      <w:r>
        <w:rPr>
          <w:rFonts w:eastAsia="Times New Roman" w:cs="Times New Roman"/>
          <w:szCs w:val="24"/>
        </w:rPr>
        <w:t>дестком</w:t>
      </w:r>
      <w:proofErr w:type="spellEnd"/>
      <w:r>
        <w:rPr>
          <w:rFonts w:eastAsia="Times New Roman" w:cs="Times New Roman"/>
          <w:szCs w:val="24"/>
        </w:rPr>
        <w:t xml:space="preserve"> возрасте// Институт стоматологии — №2 (79) — 2018 с. 63 — 65.</w:t>
      </w: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41mghml"/>
      <w:bookmarkEnd w:id="30"/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Состав рабочей группы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Першина Александра Николаевна -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штатный врач отделения хирургической стоматологии (детского), врач хирург - стоматолог;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1" w:name="_2grqrue"/>
      <w:bookmarkEnd w:id="3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Топольницкий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Орест Зиновьевич -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д. м. н., профессор, заслуженный врач России, заведующий кафедрой ДЧЛХ МГМСУ им. А. И. Евдокимова, врач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челюстно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лицевой хирург;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2" w:name="_vx1227"/>
      <w:bookmarkEnd w:id="32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Черняев Сергей Евгеньевич -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к. м. н., заведующий отделением хирургической стоматологии (детского), врач хирург - стоматолог;</w:t>
      </w:r>
      <w:proofErr w:type="gramEnd"/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3" w:name="_3fwokq0"/>
      <w:bookmarkEnd w:id="3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Гургенадзе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Панаетовна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 к. м. н., доцент, заведующая учебной частью кафедры ДЧЛХ МГМСУ им. А. И. Евдокимова</w:t>
      </w:r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1v1yuxt"/>
      <w:bookmarkEnd w:id="34"/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4f1mdlm"/>
      <w:bookmarkEnd w:id="35"/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2u6wntf"/>
      <w:bookmarkEnd w:id="36"/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19c6y18"/>
      <w:bookmarkEnd w:id="37"/>
    </w:p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Конфликт интересов: отсутствует.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C2419" w:rsidRDefault="00AB304C">
      <w:pPr>
        <w:pStyle w:val="Heading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_3tbugp1"/>
      <w:bookmarkEnd w:id="3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Методология разработки клинических рекомендаций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 данных клинических рекомендаций:</w:t>
      </w:r>
    </w:p>
    <w:p w:rsidR="00FC2419" w:rsidRDefault="00AB304C">
      <w:pPr>
        <w:pStyle w:val="LO-normal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Врачи-стоматологи общей практики </w:t>
      </w:r>
    </w:p>
    <w:p w:rsidR="00FC2419" w:rsidRDefault="00AB304C">
      <w:pPr>
        <w:pStyle w:val="LO-normal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Врачи-стоматологи-терапевты </w:t>
      </w:r>
    </w:p>
    <w:p w:rsidR="00FC2419" w:rsidRDefault="00AB304C">
      <w:pPr>
        <w:pStyle w:val="LO-normal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Врачи - стоматологи - хирурги </w:t>
      </w:r>
    </w:p>
    <w:p w:rsidR="00FC2419" w:rsidRDefault="00AB304C">
      <w:pPr>
        <w:pStyle w:val="LO-normal1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Врачи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челюстно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лицевые хирурги</w:t>
      </w: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1. </w:t>
      </w:r>
      <w:r>
        <w:rPr>
          <w:rFonts w:ascii="Times New Roman" w:eastAsia="Times New Roman" w:hAnsi="Times New Roman" w:cs="Times New Roman"/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TableNormal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9"/>
        <w:gridCol w:w="8881"/>
      </w:tblGrid>
      <w:tr w:rsidR="00FC2419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УДД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Расшифровка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Систематические  обзоры исследований с контролем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референсным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методом или систематический обзор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клинических исследований с применением мета — анализа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Отдельные исследования с контролем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референсным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методом или отдельные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клинических исследований, с применением мета — анализа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Исследования без последовательного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референсным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методом или исследования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референсным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методом, не являющимся независимым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исследовуемого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метода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нерандомизированные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сравнительные исследования,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когортные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Несравнительные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исследования, описание клинического случая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Имеется лишь обоснование механизма действия или мнение экспертов</w:t>
            </w:r>
          </w:p>
        </w:tc>
      </w:tr>
    </w:tbl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Реабилитационных вмешательств)</w:t>
      </w:r>
      <w:proofErr w:type="gramEnd"/>
    </w:p>
    <w:tbl>
      <w:tblPr>
        <w:tblStyle w:val="TableNormal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9"/>
        <w:gridCol w:w="8881"/>
      </w:tblGrid>
      <w:tr w:rsidR="00FC2419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УДД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Расшифровка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Систематические  обзоры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клинических исследований с применением мета — анализа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Отдельные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рандомизированных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клинических исследований, с применением мета — анализа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3.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Нерандомизированные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сравнительные исследования,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когортные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Несравнительные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исследования, описание клинического случая или серии случаев, исследование «случай — контроль» </w:t>
            </w:r>
          </w:p>
        </w:tc>
      </w:tr>
      <w:tr w:rsidR="00FC2419">
        <w:trPr>
          <w:jc w:val="center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FC2419" w:rsidRDefault="00FC2419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 </w:t>
      </w:r>
      <w:r>
        <w:rPr>
          <w:rFonts w:ascii="Times New Roman" w:eastAsia="Times New Roman" w:hAnsi="Times New Roman" w:cs="Times New Roman"/>
          <w:sz w:val="24"/>
          <w:szCs w:val="24"/>
        </w:rPr>
        <w:t>Шкала оценки уровней убедительности рекомендаций (УРР) для методов профилактики, лечения и реабилитации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профилактическх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диагностических, лечебных, реабилитационных вмешательств)</w:t>
      </w:r>
    </w:p>
    <w:tbl>
      <w:tblPr>
        <w:tblStyle w:val="TableNormal"/>
        <w:tblW w:w="9750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55"/>
        <w:gridCol w:w="8895"/>
      </w:tblGrid>
      <w:tr w:rsidR="00FC2419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УРР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Расшифровка</w:t>
            </w:r>
          </w:p>
        </w:tc>
      </w:tr>
      <w:tr w:rsidR="00FC2419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Сильная рекомендация (все рассматриваемые критерии эффективности (исходы) являются важными.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Все исследования имеют высокое или удовлетворительное методологическое качество, их выводы по интересующим исходам являются обоснованными)</w:t>
            </w:r>
            <w:proofErr w:type="gramEnd"/>
          </w:p>
        </w:tc>
      </w:tr>
      <w:tr w:rsidR="00FC2419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Условная рекомендация (не все рассматриваемые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кртерии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FC2419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  <w:proofErr w:type="gramEnd"/>
          </w:p>
        </w:tc>
      </w:tr>
    </w:tbl>
    <w:p w:rsidR="00FC2419" w:rsidRDefault="00FC2419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обновления клинических рекомендаций.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Механизм обновления клинических рекомендаций предусматривает их систематическую актуализацию —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КР, но не чаще 1 раза в 6 месяцев.</w:t>
      </w:r>
      <w:proofErr w:type="gramEnd"/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C2419" w:rsidRDefault="00AB304C">
      <w:pPr>
        <w:pStyle w:val="Heading1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инструкций по применению лекарственного препарата: </w:t>
      </w:r>
    </w:p>
    <w:p w:rsidR="00FC2419" w:rsidRDefault="00AB304C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Приказ Министерства здравоохранения Российской Федерации от 30 декабря 2003 г. №620 «Об утверждении протоколов «Ведения детей, страдающих стоматологическими заболеваниями».</w:t>
      </w:r>
    </w:p>
    <w:p w:rsidR="00FC2419" w:rsidRDefault="00AB304C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Приказ Министерства здравоохранения Российской Федерации от 13 ноября 2012 г. №910н «Об утверждении порядка оказания медицинской помощи детям со стоматологическими заболеваниями».</w:t>
      </w:r>
    </w:p>
    <w:p w:rsidR="00FC2419" w:rsidRDefault="00FC2419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keepLines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 А3.1. Форма добровольного информированного согласия пациента при выполнении протокола</w:t>
      </w:r>
    </w:p>
    <w:p w:rsidR="00FC2419" w:rsidRDefault="00AB304C">
      <w:pPr>
        <w:pStyle w:val="LO-normal1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к медицинской карте №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___________________________________________________________________________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ФИО ___________________________________________________________________________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получая разъяснения по поводу диагноза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сиалоденит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получив информацию: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 особенностях течения заболевания 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вероятной длительности лечения ___________________________________________________________________________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вероятном прогнозе _____________________________________________________________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Пациенту предложен план обследования и лечения, включающий</w:t>
      </w:r>
    </w:p>
    <w:p w:rsidR="00FC2419" w:rsidRDefault="00AB304C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Пациенту предложено оперативное вмешательство ___________________________________________________________________________по  методике 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Примерная стоимость лечения составляет около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Пациенту известен прейскурант, принятый в клинике.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Таким образом, пациент получил разъяснения о цели лечения и информацию о планируемых методах диагностики и лечения.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извещен о необходимости подготовки к лечению: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извещен о необходимости в ходе лечения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получил указания и рекомендации по уходу за полостью рта.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Пациент извещен, что несоблюдение им рекомендаций врача может отрицательно сказаться на состоянии здоровья. 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Пациент получил информацию, о типичных осложнениях, связанных с данным заболеванием, с необходимыми диагностическими процедурами и с лечением. 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Пациент извещен о вероятном течении заболевания и его осложнениях при отказе от лечения. Пациент имел возможность задать любые интересующие его вопросы касательно состояния его здоровья, заболевания и лечения и получил на них удовлетворительные ответы. 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получил информацию об альтернативных методах лечения, а также об их примерной стоимости.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 врач _____________________________________ (подпись врача)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_________________ 20__ г.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Пациент согласился с предложенным планом лечения, в чем расписался собственноручно _________________________________________ (подпись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или расписался его законный представитель _____________________ (подпись законного представителя)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что удостоверяют присутствующие при беседе _______________ (подпись врача)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 (подпись свидетеля)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не согласился с планом лечения (отказался от предложенного вида оперативного вмешательства), в чем расписался собственноручно 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(подпись пациента)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или расписался его законный представитель __________________________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(подпись законного представителя)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или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что удостоверяют присутствующие при беседе _______________ (подпись врача)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 (подпись свидетеля)</w:t>
      </w:r>
    </w:p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изъявил желание: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дополнительно к предложенному лечению пройти обследование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получить дополнительную медицинскую услугу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вместо предложенной операции получить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получил информацию об указанном методе обследования/лечения.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Поскольку данный метод обследования/лечения также показан пациенту, он внесен в план лечения.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 г.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 (подпись пациента)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 (подпись врача)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Поскольку данный метод обследования/лечения не показан пациенту, он не внесен в план лечения.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 г.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 (подпись пациента)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 (подпись врача)</w:t>
      </w:r>
      <w:r>
        <w:br w:type="page"/>
      </w:r>
    </w:p>
    <w:p w:rsidR="00FC2419" w:rsidRDefault="00AB304C">
      <w:pPr>
        <w:pStyle w:val="Heading1"/>
        <w:keepLines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А3.2. Перечень медицинских услуг для диагностики и лечения рецессии десны</w:t>
      </w:r>
    </w:p>
    <w:p w:rsidR="00FC2419" w:rsidRDefault="00AB304C">
      <w:pPr>
        <w:pStyle w:val="LO-normal1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(из приказа Министерства Здравоохранения РФ от 13 октября 2017 г. №804 —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номенклатуры медицинских услуг»)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Таблица 1. Сбор жалоб. Анамнеза,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обследование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В01.064.003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детского первичный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В01.064.004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детского повторный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В04.064.001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Диспансерный прием (осмотр, консультация) врача — стоматолога детского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В04.064.002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прием (осмотр, консультация) врача — стоматолога детского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В01.065.007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первичный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В01.065.008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повторный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В04.065.005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Диспансерный прием (осмотр, консультация) врача - стоматолога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В04.065.006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прием (осмотр, консультация) врача — стоматолога 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— хирурга первичный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— стоматолога — хирурга повторный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В01.068.001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лицевого — хирурга первичный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В01.068.002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лицевого — хирурга повторный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А01.07.001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анамнеза и жалоб при патологии полости рта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А01.07.002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Визуальное исследование при патологии полости рта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А01.07.005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лицевой области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А01.07.003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Пальпация органов полости рта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А01.07.006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Пальпация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лицевой области</w:t>
            </w:r>
          </w:p>
        </w:tc>
      </w:tr>
    </w:tbl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2. Лабораторная диагностика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применяется</w:t>
      </w: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3. Инструментальная диагностика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полости рта с помощью дополнительных инструментов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зубодесневых карманов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пародонтологического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зонда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А02.07.006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прикуса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А02.07.007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Перкуссия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А02.07.008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А06.07.004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Ортопантомография</w:t>
            </w:r>
            <w:proofErr w:type="spellEnd"/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А06.07.005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рентгенография протоков слюнных желез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сиалография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А04.07.002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Ультразвуковое исследование слюнных желез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А05.30.009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Магнитно-резонансная томография головы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А07.22.003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Сцинтиграфия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слюнных желез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А08.16.005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Цитологическое исследование препарата тканей слюнных желез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А06.30.002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А06.30.002.001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и интерпретация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магнитно-резонансных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томограмм</w:t>
            </w:r>
            <w:proofErr w:type="spellEnd"/>
          </w:p>
        </w:tc>
      </w:tr>
    </w:tbl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Таблица 4. Иная диагностика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А06.07.005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рентгенография протоков слюнных желез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сиалография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А04.07.002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Ультразвуковое исследование слюнных желез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А06.07.004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Ортопантомография</w:t>
            </w:r>
            <w:proofErr w:type="spellEnd"/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А05.30.009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Магнитно-резонансная томография головы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А08.16.005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Цитологическое исследование препарата тканей слюнных желез</w:t>
            </w:r>
          </w:p>
        </w:tc>
      </w:tr>
    </w:tbl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5. Консервативное лечение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А17.30.017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электрическим полем ультравысокой частоты (ЭП УВЧ)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А17.30.027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Лазерофорез</w:t>
            </w:r>
            <w:proofErr w:type="spellEnd"/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А17.30.034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лекарственный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диетической терапии при заболеваниях полости рта и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лечебно-оздоровительного режима при заболеваниях полости рта и зубов</w:t>
            </w:r>
          </w:p>
        </w:tc>
      </w:tr>
    </w:tbl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6. Оперативное лечение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В01.003.004.004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В01.003.004.005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А11.07.020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слюнной железы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Катетеризация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периферических вен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введение лекарственных препаратов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А16.07.067.004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околоушной слюнной железы с сохранением ветвей лицевого нерва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А15.01.003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Наложение повязки при операции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лицевой области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А15.07.002 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Наложение повязки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 в полости рта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А16.30.069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</w:tr>
    </w:tbl>
    <w:p w:rsidR="00FC2419" w:rsidRDefault="00FC2419">
      <w:pPr>
        <w:pStyle w:val="LO-normal1"/>
        <w:spacing w:after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2419" w:rsidRDefault="00AB304C">
      <w:pPr>
        <w:pStyle w:val="LO-normal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7. Иное лечение</w:t>
      </w:r>
    </w:p>
    <w:tbl>
      <w:tblPr>
        <w:tblStyle w:val="TableNormal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7682"/>
      </w:tblGrid>
      <w:tr w:rsidR="00FC241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Код медицинской услуги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Наименование медицинской услуги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А13.30.007.001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гигиене полости рта у ребенка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А14.07.008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А24.01.003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пузыря со льдом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А25.07.001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А25.07.002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диетического питания при заболеваниях полости рта и зубов</w:t>
            </w:r>
          </w:p>
        </w:tc>
      </w:tr>
      <w:tr w:rsidR="00FC2419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А25.07.003</w:t>
            </w:r>
          </w:p>
        </w:tc>
        <w:tc>
          <w:tcPr>
            <w:tcW w:w="7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9" w:rsidRDefault="00AB304C">
            <w:pPr>
              <w:pStyle w:val="LO-normal1"/>
              <w:widowControl w:val="0"/>
              <w:spacing w:before="113"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лечебно — оздоровительного режима при заболеваниях полости рта и зубов</w:t>
            </w:r>
          </w:p>
        </w:tc>
      </w:tr>
    </w:tbl>
    <w:p w:rsidR="00FC2419" w:rsidRDefault="00FC2419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FC2419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DC1" w:rsidRDefault="00822DC1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39" w:name="_28h4qwu"/>
      <w:bookmarkEnd w:id="39"/>
    </w:p>
    <w:p w:rsidR="00822DC1" w:rsidRPr="00822DC1" w:rsidRDefault="00822DC1" w:rsidP="00822DC1">
      <w:pPr>
        <w:pStyle w:val="LO-normal1"/>
        <w:rPr>
          <w:lang w:val="ru-RU"/>
        </w:rPr>
      </w:pPr>
    </w:p>
    <w:p w:rsidR="00822DC1" w:rsidRDefault="00822DC1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DC1" w:rsidRDefault="00822DC1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DC1" w:rsidRDefault="00822DC1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DC1" w:rsidRDefault="00822DC1" w:rsidP="00822DC1">
      <w:pPr>
        <w:pStyle w:val="LO-normal1"/>
        <w:rPr>
          <w:lang w:val="ru-RU"/>
        </w:rPr>
      </w:pPr>
      <w:r>
        <w:rPr>
          <w:lang w:val="ru-RU"/>
        </w:rPr>
        <w:br w:type="page"/>
      </w:r>
    </w:p>
    <w:p w:rsidR="00822DC1" w:rsidRDefault="00822DC1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C2419" w:rsidRDefault="00AB304C">
      <w:pPr>
        <w:pStyle w:val="Heading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Б. Алгоритмы действий врача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Хронический неспецифический паренхиматозный сиалоаденит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Нозологическая форма: паренхиматозный сиалоаденит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по МКБ — 10: К11.02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Диагностические мероприятия: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сбор жалоб и анамнеза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внешний осмотр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челюстно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лицевой области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осмотр полости рта с помощью инструментов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местных изменений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клинические анализы крови и мочи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определением иммунного статуса</w:t>
      </w: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диагностика состояния зубочелюстной системы с помощью методов и средств лучевой визуализации</w:t>
      </w:r>
    </w:p>
    <w:p w:rsidR="00FC2419" w:rsidRDefault="00FC2419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Лечение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патологии слизистой оболочки преддверия полости рта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может включать: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консервативное лечение (медикаментозная терапия - антибактериальная, противовоспалительная,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гипосенсибилизирующая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терапии, а также терапия, направленная на повышение неспецифической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организма; терапия физическими факторами; инстилляция в протоки; профилактика обострения воспалительного процесса);</w:t>
      </w:r>
    </w:p>
    <w:p w:rsidR="00FC2419" w:rsidRDefault="00AB304C">
      <w:pPr>
        <w:pStyle w:val="LO-normal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хирургическое лечение при неэффективности консервативных методик реабилитации пациента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околоушного или поднижнечелюстного протока; операция по созданию нового устья протока по методу В.В. Афанасьева и В.С. Стародубцева (1994);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субтотальную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тотальную резекцию околоушной слюнной железы с сохранением ветвей лицевого нерва; перевязку околоушного протока).</w:t>
      </w:r>
    </w:p>
    <w:p w:rsidR="00FC2419" w:rsidRDefault="00FC2419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419" w:rsidRDefault="00AB304C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Рекомендации</w:t>
      </w:r>
    </w:p>
    <w:p w:rsidR="00FC2419" w:rsidRDefault="00AB304C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режиму труда, отдыха, лечения и реабилитации:</w:t>
      </w:r>
    </w:p>
    <w:p w:rsidR="00FC2419" w:rsidRDefault="00AB304C">
      <w:pPr>
        <w:pStyle w:val="LO-normal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введения пациента в период ремиссии, необходимо проведение профилактических и реабилитационных мероприятий, которые включают в себя: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медикаментов, повышающих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неспецифическую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резистентность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организма: натрия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нуклеинат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по 4 курса в год), поливитамины (по 2 курса в год);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стенонов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йодолипола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- через 2-3 месяца в течение года, при неактивном течении - 1 раз в 6-12 месяцев); 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лечение физическими факторами - электрофорез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галантамина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калия йодида 6%, токи УВЧ,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магнитолазеротерапия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активном течении - 3-4 курса в год, при неактивном - 2 курса в год);</w:t>
      </w:r>
      <w:proofErr w:type="gramEnd"/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санация очагов хронической инфекции полости рта и носоглотки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общеукрепляющее лечение: коррекция режима дня и питания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</w:t>
      </w:r>
    </w:p>
    <w:p w:rsidR="00FC2419" w:rsidRDefault="00AB304C">
      <w:pPr>
        <w:pStyle w:val="LO-normal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положительная эмоциональная настроенность ребенка</w:t>
      </w:r>
    </w:p>
    <w:p w:rsidR="00FC2419" w:rsidRDefault="00822DC1">
      <w:pPr>
        <w:pStyle w:val="LO-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19">
        <w:rPr>
          <w:rFonts w:ascii="Times New Roman" w:eastAsia="Times New Roman" w:hAnsi="Times New Roman" w:cs="Times New Roman"/>
          <w:sz w:val="24"/>
          <w:szCs w:val="24"/>
        </w:rPr>
        <w:pict>
          <v:rect id="Изображение1" o:spid="_x0000_s1041" style="position:absolute;left:0;text-align:left;margin-left:94pt;margin-top:8.35pt;width:238.45pt;height:56.4pt;z-index:251650048;v-text-anchor:top" strokeweight=".26mm">
            <v:fill color2="black" o:detectmouseclick="t"/>
            <v:stroke joinstyle="round"/>
            <v:textbox style="mso-next-textbox:#Изображение1">
              <w:txbxContent>
                <w:p w:rsidR="00AB304C" w:rsidRDefault="00AB304C">
                  <w:pPr>
                    <w:pStyle w:val="ac"/>
                    <w:spacing w:after="200" w:line="275" w:lineRule="exac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Пациент с подозрением на хронический неспецифический паренхиматозный сиалоаденит</w:t>
                  </w:r>
                </w:p>
              </w:txbxContent>
            </v:textbox>
          </v:rect>
        </w:pict>
      </w:r>
    </w:p>
    <w:p w:rsidR="00FC2419" w:rsidRDefault="00FC2419">
      <w:pPr>
        <w:pStyle w:val="LO-normal1"/>
        <w:keepLines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gjdgxs"/>
      <w:bookmarkEnd w:id="40"/>
    </w:p>
    <w:p w:rsidR="00822DC1" w:rsidRDefault="00822DC1" w:rsidP="00822DC1">
      <w:pPr>
        <w:pStyle w:val="LO-normal"/>
        <w:spacing w:after="0"/>
        <w:rPr>
          <w:b/>
          <w:bCs/>
        </w:rPr>
      </w:pPr>
    </w:p>
    <w:p w:rsidR="00822DC1" w:rsidRDefault="00822DC1" w:rsidP="00822DC1">
      <w:pPr>
        <w:pStyle w:val="LO-normal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19.75pt;margin-top:7.15pt;width:.25pt;height:19.15pt;z-index:251675648" o:connectortype="straight">
            <v:stroke endarrow="block"/>
          </v:shape>
        </w:pict>
      </w:r>
    </w:p>
    <w:p w:rsidR="00822DC1" w:rsidRDefault="00822DC1" w:rsidP="00822DC1">
      <w:pPr>
        <w:pStyle w:val="LO-normal"/>
      </w:pPr>
      <w:r>
        <w:rPr>
          <w:noProof/>
        </w:rPr>
        <w:pict>
          <v:shape id="_x0000_s1075" type="#_x0000_t32" style="position:absolute;left:0;text-align:left;margin-left:-14.5pt;margin-top:16.25pt;width:134.25pt;height:0;z-index:251693056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-14.5pt;margin-top:16.25pt;width:0;height:472.5pt;flip:y;z-index:251692032" o:connectortype="straight"/>
        </w:pict>
      </w:r>
      <w:r>
        <w:rPr>
          <w:noProof/>
        </w:rPr>
        <w:pict>
          <v:shape id="_x0000_s1060" type="#_x0000_t32" style="position:absolute;left:0;text-align:left;margin-left:265.25pt;margin-top:21.65pt;width:24pt;height:21.2pt;z-index:25167769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64pt;margin-top:21.65pt;width:30.45pt;height:21.2pt;flip:x;z-index:251676672" o:connectortype="straight">
            <v:stroke endarrow="block"/>
          </v:shape>
        </w:pict>
      </w:r>
      <w:r>
        <w:pict>
          <v:rect id="Врезка2" o:spid="_x0000_s1044" style="position:absolute;left:0;text-align:left;margin-left:119.75pt;margin-top:.45pt;width:201.95pt;height:21.2pt;z-index:251661312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Диагностика</w:t>
                  </w:r>
                </w:p>
              </w:txbxContent>
            </v:textbox>
          </v:rect>
        </w:pict>
      </w:r>
    </w:p>
    <w:p w:rsidR="00822DC1" w:rsidRDefault="00822DC1" w:rsidP="00822DC1">
      <w:pPr>
        <w:pStyle w:val="LO-normal"/>
      </w:pPr>
      <w:r>
        <w:pict>
          <v:rect id="Врезка4" o:spid="_x0000_s1045" style="position:absolute;left:0;text-align:left;margin-left:239.75pt;margin-top:17pt;width:104.45pt;height:27.2pt;z-index:251662336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Опрос</w:t>
                  </w:r>
                </w:p>
              </w:txbxContent>
            </v:textbox>
          </v:rect>
        </w:pict>
      </w:r>
      <w:r>
        <w:pict>
          <v:rect id="Врезка5" o:spid="_x0000_s1046" style="position:absolute;left:0;text-align:left;margin-left:109.25pt;margin-top:17pt;width:85.2pt;height:27.2pt;z-index:251663360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Осмотр</w:t>
                  </w:r>
                </w:p>
              </w:txbxContent>
            </v:textbox>
          </v:rect>
        </w:pict>
      </w:r>
    </w:p>
    <w:p w:rsidR="00822DC1" w:rsidRDefault="00822DC1" w:rsidP="00822DC1">
      <w:pPr>
        <w:pStyle w:val="LO-normal"/>
      </w:pPr>
      <w:r>
        <w:rPr>
          <w:noProof/>
        </w:rPr>
        <w:pict>
          <v:shape id="_x0000_s1063" type="#_x0000_t32" style="position:absolute;left:0;text-align:left;margin-left:299.75pt;margin-top:18.3pt;width:0;height:30pt;flip:y;z-index:251680768" o:connectortype="straight"/>
        </w:pict>
      </w:r>
      <w:r>
        <w:rPr>
          <w:noProof/>
        </w:rPr>
        <w:pict>
          <v:shape id="_x0000_s1061" type="#_x0000_t32" style="position:absolute;left:0;text-align:left;margin-left:145.25pt;margin-top:18.3pt;width:0;height:30pt;z-index:251678720" o:connectortype="straight"/>
        </w:pict>
      </w:r>
    </w:p>
    <w:p w:rsidR="00822DC1" w:rsidRDefault="00822DC1" w:rsidP="00822DC1">
      <w:pPr>
        <w:pStyle w:val="LO-normal"/>
      </w:pPr>
      <w:r>
        <w:rPr>
          <w:noProof/>
        </w:rPr>
        <w:pict>
          <v:shape id="_x0000_s1062" type="#_x0000_t32" style="position:absolute;left:0;text-align:left;margin-left:145.25pt;margin-top:22.45pt;width:154.5pt;height:0;z-index:251679744" o:connectortype="straight"/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Врезка6" o:spid="_x0000_s1048" type="#_x0000_t4" style="position:absolute;left:0;text-align:left;margin-left:152.75pt;margin-top:22.45pt;width:141.95pt;height:100.7pt;z-index:251665408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Диагноз подтвержден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>
        <w:pict>
          <v:line id="Фигура1" o:spid="_x0000_s1047" style="position:absolute;left:0;text-align:left;flip:x;z-index:251664384" from="219.75pt,17.95pt" to="220pt,17.95pt" strokecolor="#3465a4">
            <v:fill o:detectmouseclick="t"/>
          </v:line>
        </w:pict>
      </w:r>
    </w:p>
    <w:p w:rsidR="00822DC1" w:rsidRDefault="00822DC1" w:rsidP="00822DC1">
      <w:pPr>
        <w:pStyle w:val="LO-normal"/>
        <w:tabs>
          <w:tab w:val="left" w:pos="2610"/>
        </w:tabs>
      </w:pPr>
      <w:r>
        <w:pict>
          <v:rect id="Врезка7" o:spid="_x0000_s1049" style="position:absolute;left:0;text-align:left;margin-left:-4.75pt;margin-top:16.45pt;width:129.2pt;height:37.7pt;z-index:251666432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Поиск других причин или снятие диагноза</w:t>
                  </w:r>
                </w:p>
              </w:txbxContent>
            </v:textbox>
          </v:rect>
        </w:pict>
      </w:r>
      <w:r>
        <w:tab/>
      </w:r>
    </w:p>
    <w:p w:rsidR="00822DC1" w:rsidRDefault="00822DC1" w:rsidP="00822DC1">
      <w:pPr>
        <w:pStyle w:val="LO-normal"/>
        <w:rPr>
          <w:rFonts w:cs="Times New Roman"/>
        </w:rPr>
      </w:pPr>
      <w:r>
        <w:rPr>
          <w:noProof/>
        </w:rPr>
        <w:pict>
          <v:shape id="_x0000_s1065" type="#_x0000_t32" style="position:absolute;left:0;text-align:left;margin-left:294.7pt;margin-top:12.15pt;width:54.55pt;height:9pt;flip:y;z-index:25168281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124.45pt;margin-top:12.15pt;width:28.3pt;height:9pt;flip:x y;z-index:251681792" o:connectortype="straight">
            <v:stroke endarrow="block"/>
          </v:shape>
        </w:pict>
      </w:r>
      <w:r w:rsidRPr="004331D2">
        <w:pict>
          <v:rect id="Врезка3" o:spid="_x0000_s1050" style="position:absolute;left:0;text-align:left;margin-left:349.25pt;margin-top:1.5pt;width:65.45pt;height:27.2pt;z-index:251667456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Лечение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rPr>
          <w:rFonts w:cs="Times New Roman"/>
        </w:rPr>
        <w:t xml:space="preserve">        Нет</w:t>
      </w:r>
      <w:proofErr w:type="gramStart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Д</w:t>
      </w:r>
      <w:proofErr w:type="gramEnd"/>
      <w:r>
        <w:rPr>
          <w:rFonts w:cs="Times New Roman"/>
        </w:rPr>
        <w:t>а</w:t>
      </w:r>
    </w:p>
    <w:p w:rsidR="00822DC1" w:rsidRDefault="00822DC1" w:rsidP="00822DC1">
      <w:pPr>
        <w:pStyle w:val="LO-normal"/>
      </w:pPr>
      <w:r>
        <w:rPr>
          <w:noProof/>
        </w:rPr>
        <w:pict>
          <v:shape id="_x0000_s1077" type="#_x0000_t32" style="position:absolute;left:0;text-align:left;margin-left:14.75pt;margin-top:2.85pt;width:0;height:250.85pt;flip:y;z-index:251695104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330.5pt;margin-top:2.85pt;width:40.5pt;height:24.65pt;flip:x;z-index:251683840" o:connectortype="straight">
            <v:stroke endarrow="block"/>
          </v:shape>
        </w:pict>
      </w:r>
    </w:p>
    <w:p w:rsidR="00822DC1" w:rsidRDefault="00822DC1" w:rsidP="00822DC1">
      <w:pPr>
        <w:pStyle w:val="LO-normal"/>
      </w:pPr>
      <w:r>
        <w:pict>
          <v:shape id="Врезка8" o:spid="_x0000_s1051" type="#_x0000_t4" style="position:absolute;left:0;text-align:left;margin-left:265.25pt;margin-top:1.6pt;width:128.45pt;height:147.05pt;z-index:251668480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Есть ли показания к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хирургичес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кому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лечению?</w:t>
                  </w:r>
                </w:p>
              </w:txbxContent>
            </v:textbox>
          </v:shape>
        </w:pict>
      </w:r>
    </w:p>
    <w:p w:rsidR="00822DC1" w:rsidRDefault="00822DC1" w:rsidP="00822DC1">
      <w:pPr>
        <w:pStyle w:val="LO-normal"/>
      </w:pPr>
      <w:r>
        <w:pict>
          <v:rect id="Врезка9" o:spid="_x0000_s1052" style="position:absolute;left:0;text-align:left;margin-left:419.75pt;margin-top:8.55pt;width:62.45pt;height:63.2pt;z-index:251669504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Консервативное лечение</w:t>
                  </w:r>
                </w:p>
              </w:txbxContent>
            </v:textbox>
          </v:rect>
        </w:pict>
      </w:r>
      <w:r>
        <w:pict>
          <v:rect id="Врезка10" o:spid="_x0000_s1053" style="position:absolute;left:0;text-align:left;margin-left:104pt;margin-top:19.05pt;width:125.45pt;height:63.2pt;z-index:251670528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Проведение хирургического вмешательства</w:t>
                  </w:r>
                </w:p>
              </w:txbxContent>
            </v:textbox>
          </v:rect>
        </w:pict>
      </w:r>
    </w:p>
    <w:p w:rsidR="00822DC1" w:rsidRDefault="00822DC1" w:rsidP="00822DC1">
      <w:pPr>
        <w:pStyle w:val="LO-normal"/>
        <w:rPr>
          <w:rFonts w:cs="Times New Roman"/>
        </w:rPr>
      </w:pPr>
      <w:r>
        <w:rPr>
          <w:noProof/>
        </w:rPr>
        <w:pict>
          <v:shape id="_x0000_s1068" type="#_x0000_t32" style="position:absolute;left:0;text-align:left;margin-left:393.7pt;margin-top:13.7pt;width:26.05pt;height:9.75pt;flip:y;z-index:251685888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229.45pt;margin-top:17.45pt;width:35.8pt;height:6pt;flip:x y;z-index:251684864" o:connectortype="straight">
            <v:stroke endarrow="block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 xml:space="preserve">          Да</w:t>
      </w:r>
      <w:proofErr w:type="gramStart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Н</w:t>
      </w:r>
      <w:proofErr w:type="gramEnd"/>
      <w:r>
        <w:rPr>
          <w:rFonts w:cs="Times New Roman"/>
        </w:rPr>
        <w:t>ет</w:t>
      </w:r>
    </w:p>
    <w:p w:rsidR="00822DC1" w:rsidRDefault="00822DC1" w:rsidP="00822DC1">
      <w:pPr>
        <w:pStyle w:val="LO-normal"/>
      </w:pPr>
    </w:p>
    <w:p w:rsidR="00822DC1" w:rsidRDefault="00822DC1" w:rsidP="00822DC1">
      <w:pPr>
        <w:pStyle w:val="LO-normal"/>
      </w:pPr>
      <w:r>
        <w:rPr>
          <w:noProof/>
        </w:rPr>
        <w:pict>
          <v:shape id="_x0000_s1069" type="#_x0000_t32" style="position:absolute;left:0;text-align:left;margin-left:158.75pt;margin-top:4.65pt;width:.75pt;height:33.2pt;z-index:251686912" o:connectortype="straight">
            <v:stroke endarrow="block"/>
          </v:shape>
        </w:pict>
      </w:r>
    </w:p>
    <w:p w:rsidR="00822DC1" w:rsidRDefault="00822DC1" w:rsidP="00822DC1">
      <w:pPr>
        <w:pStyle w:val="LO-normal"/>
      </w:pPr>
      <w:r>
        <w:pict>
          <v:rect id="Врезка11" o:spid="_x0000_s1054" style="position:absolute;left:0;text-align:left;margin-left:84.5pt;margin-top:11.95pt;width:162.95pt;height:22.7pt;z-index:251671552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Реабилитация</w:t>
                  </w:r>
                </w:p>
              </w:txbxContent>
            </v:textbox>
          </v:rect>
        </w:pict>
      </w:r>
    </w:p>
    <w:p w:rsidR="00822DC1" w:rsidRDefault="00822DC1" w:rsidP="00822DC1">
      <w:pPr>
        <w:pStyle w:val="LO-normal"/>
      </w:pPr>
      <w:r>
        <w:rPr>
          <w:noProof/>
        </w:rPr>
        <w:pict>
          <v:shape id="_x0000_s1070" type="#_x0000_t32" style="position:absolute;left:0;text-align:left;margin-left:168.5pt;margin-top:8.8pt;width:.75pt;height:15.2pt;z-index:251687936" o:connectortype="straight">
            <v:stroke endarrow="block"/>
          </v:shape>
        </w:pict>
      </w:r>
      <w:r>
        <w:pict>
          <v:shape id="Врезка12" o:spid="_x0000_s1055" type="#_x0000_t4" style="position:absolute;left:0;text-align:left;margin-left:84.5pt;margin-top:24pt;width:171.2pt;height:98.45pt;z-index:251672576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Достигнут ли положительный результат?</w:t>
                  </w:r>
                </w:p>
              </w:txbxContent>
            </v:textbox>
          </v:shape>
        </w:pict>
      </w:r>
    </w:p>
    <w:p w:rsidR="00822DC1" w:rsidRDefault="00822DC1" w:rsidP="00822DC1">
      <w:pPr>
        <w:pStyle w:val="LO-normal"/>
      </w:pPr>
      <w:r>
        <w:pict>
          <v:rect id="Врезка13" o:spid="_x0000_s1056" style="position:absolute;left:0;text-align:left;margin-left:305pt;margin-top:21.8pt;width:150.95pt;height:24.95pt;z-index:251673600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Диспансерное наблюдение</w:t>
                  </w:r>
                </w:p>
              </w:txbxContent>
            </v:textbox>
          </v:rect>
        </w:pict>
      </w:r>
    </w:p>
    <w:p w:rsidR="00822DC1" w:rsidRDefault="00822DC1" w:rsidP="00822DC1">
      <w:pPr>
        <w:pStyle w:val="LO-normal"/>
        <w:rPr>
          <w:rFonts w:cs="Times New Roman"/>
        </w:rPr>
      </w:pPr>
      <w:r>
        <w:rPr>
          <w:noProof/>
        </w:rPr>
        <w:pict>
          <v:shape id="_x0000_s1080" type="#_x0000_t32" style="position:absolute;left:0;text-align:left;margin-left:455.95pt;margin-top:7.7pt;width:26.25pt;height:0;flip:x;z-index:251698176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482.2pt;margin-top:7.7pt;width:0;height:93pt;flip:y;z-index:251697152" o:connectortype="straight"/>
        </w:pict>
      </w:r>
      <w:r>
        <w:rPr>
          <w:noProof/>
        </w:rPr>
        <w:pict>
          <v:shape id="_x0000_s1076" type="#_x0000_t32" style="position:absolute;left:0;text-align:left;margin-left:14.75pt;margin-top:20.85pt;width:69.75pt;height:0;flip:x;z-index:251694080" o:connectortype="straight"/>
        </w:pict>
      </w:r>
      <w:r>
        <w:rPr>
          <w:noProof/>
        </w:rPr>
        <w:pict>
          <v:shape id="_x0000_s1072" type="#_x0000_t32" style="position:absolute;left:0;text-align:left;margin-left:349.25pt;margin-top:20.85pt;width:21.75pt;height:29.2pt;flip:x;z-index:251689984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255.7pt;margin-top:7.7pt;width:44.05pt;height:13.15pt;flip:y;z-index:251688960" o:connectortype="straight">
            <v:stroke endarrow="block"/>
          </v:shape>
        </w:pict>
      </w:r>
      <w:r>
        <w:tab/>
      </w:r>
      <w:r>
        <w:rPr>
          <w:rFonts w:cs="Times New Roman"/>
        </w:rPr>
        <w:t>Нет</w:t>
      </w:r>
      <w:proofErr w:type="gramStart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Д</w:t>
      </w:r>
      <w:proofErr w:type="gramEnd"/>
      <w:r>
        <w:rPr>
          <w:rFonts w:cs="Times New Roman"/>
        </w:rPr>
        <w:t>а</w:t>
      </w:r>
    </w:p>
    <w:p w:rsidR="00822DC1" w:rsidRDefault="00822DC1" w:rsidP="00822DC1">
      <w:pPr>
        <w:pStyle w:val="LO-normal"/>
      </w:pPr>
      <w:r>
        <w:pict>
          <v:shape id="Врезка14" o:spid="_x0000_s1057" type="#_x0000_t4" style="position:absolute;left:0;text-align:left;margin-left:277.25pt;margin-top:24.2pt;width:146.45pt;height:103.15pt;z-index:251674624;v-text-anchor:top" strokecolor="black [3213]" strokeweight=".02mm">
            <v:fill color2="black" o:detectmouseclick="t"/>
            <v:stroke joinstyle="round"/>
            <v:textbox>
              <w:txbxContent>
                <w:p w:rsidR="00822DC1" w:rsidRDefault="00822DC1" w:rsidP="00822DC1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Есть ли рецидив заболевания?</w:t>
                  </w:r>
                </w:p>
              </w:txbxContent>
            </v:textbox>
          </v:shape>
        </w:pict>
      </w:r>
    </w:p>
    <w:p w:rsidR="00822DC1" w:rsidRDefault="00822DC1" w:rsidP="00822DC1">
      <w:pPr>
        <w:pStyle w:val="LO-normal"/>
      </w:pPr>
    </w:p>
    <w:p w:rsidR="00822DC1" w:rsidRDefault="00822DC1" w:rsidP="00822DC1">
      <w:pPr>
        <w:pStyle w:val="LO-normal"/>
      </w:pPr>
      <w:r>
        <w:rPr>
          <w:noProof/>
        </w:rPr>
        <w:pict>
          <v:shape id="_x0000_s1078" type="#_x0000_t32" style="position:absolute;left:0;text-align:left;margin-left:423.7pt;margin-top:23.1pt;width:58.5pt;height:0;z-index:251696128" o:connectortype="straight"/>
        </w:pict>
      </w:r>
      <w:r>
        <w:rPr>
          <w:noProof/>
        </w:rPr>
        <w:pict>
          <v:shape id="_x0000_s1073" type="#_x0000_t32" style="position:absolute;left:0;text-align:left;margin-left:-14.5pt;margin-top:23.1pt;width:291.75pt;height:0;flip:x;z-index:251691008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Да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Н</w:t>
      </w:r>
      <w:proofErr w:type="gramEnd"/>
      <w:r>
        <w:rPr>
          <w:rFonts w:cs="Times New Roman"/>
        </w:rPr>
        <w:t>ет</w:t>
      </w:r>
    </w:p>
    <w:p w:rsidR="00FC2419" w:rsidRPr="00822DC1" w:rsidRDefault="00FC2419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2419" w:rsidRDefault="00FC2419">
      <w:pPr>
        <w:pStyle w:val="LO-normal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419" w:rsidRDefault="00AB304C">
      <w:pPr>
        <w:pStyle w:val="Heading1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nmf14n"/>
      <w:bookmarkEnd w:id="41"/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В. Информация для пациента</w:t>
      </w:r>
    </w:p>
    <w:p w:rsidR="00FC2419" w:rsidRDefault="00AB304C">
      <w:pPr>
        <w:pStyle w:val="LO-normal1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информация для пациента и его законных представителей</w:t>
      </w:r>
    </w:p>
    <w:p w:rsidR="00FC2419" w:rsidRDefault="00AB304C">
      <w:pPr>
        <w:pStyle w:val="LO-normal1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предупредить родителей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обязательности соблюдения рекомендаций врача и сроков обращения, а также о  специфике заболевания и склонности состояния к рецидивам за счет анатомических особенностей структуры слюнной железы у ребенка, что требует особого внимания к профилактике и реабилитационным мерам, направленным на продление состояния ремиссии. </w:t>
      </w:r>
    </w:p>
    <w:p w:rsidR="00FC2419" w:rsidRDefault="00AB304C">
      <w:pPr>
        <w:pStyle w:val="LO-normal1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необходимости срочного обращения к врачу при наличии признаков ухудшения общего состояния ребенка, симптомов появления, распространения воспалительного процесса и отсутствии положительного результата после оказанной стоматологической помощи;</w:t>
      </w:r>
    </w:p>
    <w:p w:rsidR="00FC2419" w:rsidRDefault="00AB304C">
      <w:pPr>
        <w:pStyle w:val="LO-normal1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оказания помощи детям рекомендуется соблюдение диеты и коррекция режима труда и отдыха, что является залогом успешности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пролонгирования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лечения. </w:t>
      </w:r>
    </w:p>
    <w:p w:rsidR="00FC2419" w:rsidRDefault="00AB304C">
      <w:pPr>
        <w:pStyle w:val="LO-normal1"/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диетическим назначениям и ограничениям. </w:t>
      </w:r>
    </w:p>
    <w:p w:rsidR="00FC2419" w:rsidRDefault="00FC2419">
      <w:pPr>
        <w:pStyle w:val="LO-normal1"/>
        <w:spacing w:after="200" w:line="360" w:lineRule="auto"/>
        <w:ind w:firstLine="708"/>
        <w:jc w:val="both"/>
      </w:pPr>
    </w:p>
    <w:sectPr w:rsidR="00FC2419" w:rsidSect="00FC2419">
      <w:footerReference w:type="default" r:id="rId29"/>
      <w:headerReference w:type="first" r:id="rId30"/>
      <w:footerReference w:type="first" r:id="rId31"/>
      <w:pgSz w:w="11906" w:h="16838"/>
      <w:pgMar w:top="720" w:right="1440" w:bottom="1440" w:left="1440" w:header="720" w:footer="720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4C" w:rsidRDefault="00AB304C" w:rsidP="00FC2419">
      <w:pPr>
        <w:spacing w:line="240" w:lineRule="auto"/>
      </w:pPr>
      <w:r>
        <w:separator/>
      </w:r>
    </w:p>
  </w:endnote>
  <w:endnote w:type="continuationSeparator" w:id="0">
    <w:p w:rsidR="00AB304C" w:rsidRDefault="00AB304C" w:rsidP="00FC2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4C" w:rsidRDefault="00AB304C">
    <w:pPr>
      <w:pStyle w:val="LO-normal1"/>
      <w:jc w:val="center"/>
    </w:pPr>
    <w:fldSimple w:instr="PAGE">
      <w:r w:rsidR="00822DC1">
        <w:rPr>
          <w:noProof/>
        </w:rPr>
        <w:t>40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4C" w:rsidRDefault="00AB304C">
    <w:pPr>
      <w:pStyle w:val="LO-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4C" w:rsidRDefault="00AB304C" w:rsidP="00FC2419">
      <w:pPr>
        <w:spacing w:line="240" w:lineRule="auto"/>
      </w:pPr>
      <w:r>
        <w:separator/>
      </w:r>
    </w:p>
  </w:footnote>
  <w:footnote w:type="continuationSeparator" w:id="0">
    <w:p w:rsidR="00AB304C" w:rsidRDefault="00AB304C" w:rsidP="00FC2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4C" w:rsidRDefault="00AB304C">
    <w:pPr>
      <w:pStyle w:val="LO-norma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82E"/>
    <w:multiLevelType w:val="multilevel"/>
    <w:tmpl w:val="DA4415C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23F36C4"/>
    <w:multiLevelType w:val="multilevel"/>
    <w:tmpl w:val="616CD21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288"/>
        </w:tabs>
        <w:ind w:left="3288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08"/>
        </w:tabs>
        <w:ind w:left="4008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68"/>
        </w:tabs>
        <w:ind w:left="4368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15CC6327"/>
    <w:multiLevelType w:val="multilevel"/>
    <w:tmpl w:val="1C541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43749D"/>
    <w:multiLevelType w:val="multilevel"/>
    <w:tmpl w:val="E9DC391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29DF1D22"/>
    <w:multiLevelType w:val="multilevel"/>
    <w:tmpl w:val="9B3005A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2C904CC8"/>
    <w:multiLevelType w:val="multilevel"/>
    <w:tmpl w:val="8E6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0D46D42"/>
    <w:multiLevelType w:val="multilevel"/>
    <w:tmpl w:val="BADC0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nsid w:val="368C4A60"/>
    <w:multiLevelType w:val="multilevel"/>
    <w:tmpl w:val="156E955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nsid w:val="4A8A4DAB"/>
    <w:multiLevelType w:val="multilevel"/>
    <w:tmpl w:val="B25A954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nsid w:val="4DF31FDA"/>
    <w:multiLevelType w:val="multilevel"/>
    <w:tmpl w:val="509C0B8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>
    <w:nsid w:val="527233A1"/>
    <w:multiLevelType w:val="multilevel"/>
    <w:tmpl w:val="DD825CC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nsid w:val="531D5242"/>
    <w:multiLevelType w:val="multilevel"/>
    <w:tmpl w:val="0560B75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nsid w:val="5BA6497C"/>
    <w:multiLevelType w:val="multilevel"/>
    <w:tmpl w:val="DDFC9E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nsid w:val="64E4586F"/>
    <w:multiLevelType w:val="multilevel"/>
    <w:tmpl w:val="D40EC88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nsid w:val="79D53C52"/>
    <w:multiLevelType w:val="multilevel"/>
    <w:tmpl w:val="CFA2256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nsid w:val="7B2E794F"/>
    <w:multiLevelType w:val="multilevel"/>
    <w:tmpl w:val="5D98F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u w:val="none"/>
      </w:rPr>
    </w:lvl>
  </w:abstractNum>
  <w:abstractNum w:abstractNumId="16">
    <w:nsid w:val="7CB050E0"/>
    <w:multiLevelType w:val="multilevel"/>
    <w:tmpl w:val="C384206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419"/>
    <w:rsid w:val="00822DC1"/>
    <w:rsid w:val="00AB304C"/>
    <w:rsid w:val="00FC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58"/>
        <o:r id="V:Rule2" type="connector" idref="#_x0000_s1059"/>
        <o:r id="V:Rule3" type="connector" idref="#_x0000_s1060"/>
        <o:r id="V:Rule4" type="connector" idref="#_x0000_s1061"/>
        <o:r id="V:Rule5" type="connector" idref="#_x0000_s1062"/>
        <o:r id="V:Rule6" type="connector" idref="#_x0000_s1063"/>
        <o:r id="V:Rule7" type="connector" idref="#_x0000_s1064"/>
        <o:r id="V:Rule8" type="connector" idref="#_x0000_s1065"/>
        <o:r id="V:Rule9" type="connector" idref="#_x0000_s1066"/>
        <o:r id="V:Rule10" type="connector" idref="#_x0000_s1067"/>
        <o:r id="V:Rule11" type="connector" idref="#_x0000_s1068"/>
        <o:r id="V:Rule12" type="connector" idref="#_x0000_s1069"/>
        <o:r id="V:Rule13" type="connector" idref="#_x0000_s1070"/>
        <o:r id="V:Rule14" type="connector" idref="#_x0000_s1071"/>
        <o:r id="V:Rule15" type="connector" idref="#_x0000_s1072"/>
        <o:r id="V:Rule16" type="connector" idref="#_x0000_s1073"/>
        <o:r id="V:Rule17" type="connector" idref="#_x0000_s1074"/>
        <o:r id="V:Rule18" type="connector" idref="#_x0000_s1075"/>
        <o:r id="V:Rule19" type="connector" idref="#_x0000_s1076"/>
        <o:r id="V:Rule20" type="connector" idref="#_x0000_s1077"/>
        <o:r id="V:Rule21" type="connector" idref="#_x0000_s1078"/>
        <o:r id="V:Rule22" type="connector" idref="#_x0000_s1079"/>
        <o:r id="V:Rule2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1"/>
    <w:next w:val="LO-normal1"/>
    <w:qFormat/>
    <w:rsid w:val="00FC2419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1"/>
    <w:next w:val="LO-normal1"/>
    <w:qFormat/>
    <w:rsid w:val="00FC2419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1"/>
    <w:next w:val="LO-normal1"/>
    <w:qFormat/>
    <w:rsid w:val="00FC2419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1"/>
    <w:next w:val="LO-normal1"/>
    <w:qFormat/>
    <w:rsid w:val="00FC2419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1"/>
    <w:next w:val="LO-normal1"/>
    <w:qFormat/>
    <w:rsid w:val="00FC2419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1"/>
    <w:next w:val="LO-normal1"/>
    <w:qFormat/>
    <w:rsid w:val="00FC2419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-">
    <w:name w:val="Интернет-ссылка"/>
    <w:rsid w:val="00FC2419"/>
    <w:rPr>
      <w:color w:val="000080"/>
      <w:u w:val="single"/>
    </w:rPr>
  </w:style>
  <w:style w:type="character" w:customStyle="1" w:styleId="a3">
    <w:name w:val="Ссылка указателя"/>
    <w:qFormat/>
    <w:rsid w:val="00FC2419"/>
  </w:style>
  <w:style w:type="character" w:customStyle="1" w:styleId="a4">
    <w:name w:val="Маркеры"/>
    <w:qFormat/>
    <w:rsid w:val="00FC2419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C2419"/>
    <w:rPr>
      <w:rFonts w:ascii="Times New Roman" w:hAnsi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FC24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FC2419"/>
    <w:pPr>
      <w:spacing w:after="140"/>
    </w:pPr>
  </w:style>
  <w:style w:type="paragraph" w:styleId="a8">
    <w:name w:val="List"/>
    <w:basedOn w:val="a7"/>
    <w:rsid w:val="00FC2419"/>
  </w:style>
  <w:style w:type="paragraph" w:customStyle="1" w:styleId="Caption">
    <w:name w:val="Caption"/>
    <w:basedOn w:val="a"/>
    <w:qFormat/>
    <w:rsid w:val="00FC2419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FC2419"/>
    <w:pPr>
      <w:suppressLineNumbers/>
    </w:pPr>
  </w:style>
  <w:style w:type="paragraph" w:customStyle="1" w:styleId="LO-normal1">
    <w:name w:val="LO-normal1"/>
    <w:qFormat/>
    <w:rsid w:val="00FC2419"/>
    <w:pPr>
      <w:spacing w:line="276" w:lineRule="auto"/>
    </w:pPr>
  </w:style>
  <w:style w:type="paragraph" w:styleId="aa">
    <w:name w:val="Title"/>
    <w:basedOn w:val="LO-normal1"/>
    <w:next w:val="LO-normal1"/>
    <w:qFormat/>
    <w:rsid w:val="00FC2419"/>
    <w:pPr>
      <w:keepNext/>
      <w:keepLines/>
      <w:spacing w:after="60" w:line="240" w:lineRule="auto"/>
    </w:pPr>
    <w:rPr>
      <w:sz w:val="52"/>
      <w:szCs w:val="52"/>
    </w:rPr>
  </w:style>
  <w:style w:type="paragraph" w:styleId="ab">
    <w:name w:val="Subtitle"/>
    <w:basedOn w:val="LO-normal1"/>
    <w:next w:val="LO-normal1"/>
    <w:qFormat/>
    <w:rsid w:val="00FC2419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c">
    <w:name w:val="Содержимое врезки"/>
    <w:basedOn w:val="a"/>
    <w:qFormat/>
    <w:rsid w:val="00FC2419"/>
  </w:style>
  <w:style w:type="paragraph" w:customStyle="1" w:styleId="ad">
    <w:name w:val="Верхний и нижний колонтитулы"/>
    <w:basedOn w:val="a"/>
    <w:qFormat/>
    <w:rsid w:val="00FC2419"/>
  </w:style>
  <w:style w:type="paragraph" w:customStyle="1" w:styleId="Header">
    <w:name w:val="Header"/>
    <w:basedOn w:val="ad"/>
    <w:rsid w:val="00FC2419"/>
  </w:style>
  <w:style w:type="paragraph" w:customStyle="1" w:styleId="Footer">
    <w:name w:val="Footer"/>
    <w:basedOn w:val="ad"/>
    <w:rsid w:val="00FC2419"/>
  </w:style>
  <w:style w:type="paragraph" w:customStyle="1" w:styleId="LO-normal">
    <w:name w:val="LO-normal"/>
    <w:qFormat/>
    <w:rsid w:val="00FC2419"/>
    <w:pPr>
      <w:spacing w:after="200" w:line="276" w:lineRule="auto"/>
      <w:jc w:val="both"/>
    </w:pPr>
    <w:rPr>
      <w:rFonts w:ascii="Times New Roman" w:eastAsia="Calibri" w:hAnsi="Times New Roman" w:cs="Calibri"/>
      <w:sz w:val="24"/>
      <w:lang w:val="ru-RU" w:eastAsia="ru-RU" w:bidi="ar-SA"/>
    </w:rPr>
  </w:style>
  <w:style w:type="table" w:customStyle="1" w:styleId="TableNormal">
    <w:name w:val="Table Normal"/>
    <w:rsid w:val="00FC24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4j9mX2zp3_Gd3NN9Dbktfk1jtQ9VGZr/edit" TargetMode="External"/><Relationship Id="rId13" Type="http://schemas.openxmlformats.org/officeDocument/2006/relationships/hyperlink" Target="https://docs.google.com/document/d/1-4j9mX2zp3_Gd3NN9Dbktfk1jtQ9VGZr/edit" TargetMode="External"/><Relationship Id="rId18" Type="http://schemas.openxmlformats.org/officeDocument/2006/relationships/hyperlink" Target="https://docs.google.com/document/d/1-4j9mX2zp3_Gd3NN9Dbktfk1jtQ9VGZr/edit" TargetMode="External"/><Relationship Id="rId26" Type="http://schemas.openxmlformats.org/officeDocument/2006/relationships/hyperlink" Target="https://docs.google.com/document/d/1-4j9mX2zp3_Gd3NN9Dbktfk1jtQ9VGZr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-4j9mX2zp3_Gd3NN9Dbktfk1jtQ9VGZr/edit" TargetMode="External"/><Relationship Id="rId7" Type="http://schemas.openxmlformats.org/officeDocument/2006/relationships/hyperlink" Target="https://docs.google.com/document/d/1-4j9mX2zp3_Gd3NN9Dbktfk1jtQ9VGZr/edit" TargetMode="External"/><Relationship Id="rId12" Type="http://schemas.openxmlformats.org/officeDocument/2006/relationships/hyperlink" Target="https://docs.google.com/document/d/1-4j9mX2zp3_Gd3NN9Dbktfk1jtQ9VGZr/edit" TargetMode="External"/><Relationship Id="rId17" Type="http://schemas.openxmlformats.org/officeDocument/2006/relationships/hyperlink" Target="https://docs.google.com/document/d/1-4j9mX2zp3_Gd3NN9Dbktfk1jtQ9VGZr/edit" TargetMode="External"/><Relationship Id="rId25" Type="http://schemas.openxmlformats.org/officeDocument/2006/relationships/hyperlink" Target="https://docs.google.com/document/d/1-4j9mX2zp3_Gd3NN9Dbktfk1jtQ9VGZr/ed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-4j9mX2zp3_Gd3NN9Dbktfk1jtQ9VGZr/edit" TargetMode="External"/><Relationship Id="rId20" Type="http://schemas.openxmlformats.org/officeDocument/2006/relationships/hyperlink" Target="https://docs.google.com/document/d/1-4j9mX2zp3_Gd3NN9Dbktfk1jtQ9VGZr/edi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-4j9mX2zp3_Gd3NN9Dbktfk1jtQ9VGZr/edit" TargetMode="External"/><Relationship Id="rId24" Type="http://schemas.openxmlformats.org/officeDocument/2006/relationships/hyperlink" Target="https://docs.google.com/document/d/1-4j9mX2zp3_Gd3NN9Dbktfk1jtQ9VGZr/edi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-4j9mX2zp3_Gd3NN9Dbktfk1jtQ9VGZr/edit" TargetMode="External"/><Relationship Id="rId23" Type="http://schemas.openxmlformats.org/officeDocument/2006/relationships/hyperlink" Target="https://docs.google.com/document/d/1-4j9mX2zp3_Gd3NN9Dbktfk1jtQ9VGZr/edit" TargetMode="External"/><Relationship Id="rId28" Type="http://schemas.openxmlformats.org/officeDocument/2006/relationships/hyperlink" Target="https://docs.google.com/document/d/1-4j9mX2zp3_Gd3NN9Dbktfk1jtQ9VGZr/edit" TargetMode="External"/><Relationship Id="rId10" Type="http://schemas.openxmlformats.org/officeDocument/2006/relationships/hyperlink" Target="https://docs.google.com/document/d/1-4j9mX2zp3_Gd3NN9Dbktfk1jtQ9VGZr/edit" TargetMode="External"/><Relationship Id="rId19" Type="http://schemas.openxmlformats.org/officeDocument/2006/relationships/hyperlink" Target="https://docs.google.com/document/d/1-4j9mX2zp3_Gd3NN9Dbktfk1jtQ9VGZr/edit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4j9mX2zp3_Gd3NN9Dbktfk1jtQ9VGZr/edit" TargetMode="External"/><Relationship Id="rId14" Type="http://schemas.openxmlformats.org/officeDocument/2006/relationships/hyperlink" Target="https://docs.google.com/document/d/1-4j9mX2zp3_Gd3NN9Dbktfk1jtQ9VGZr/edit" TargetMode="External"/><Relationship Id="rId22" Type="http://schemas.openxmlformats.org/officeDocument/2006/relationships/hyperlink" Target="https://docs.google.com/document/d/1-4j9mX2zp3_Gd3NN9Dbktfk1jtQ9VGZr/edit" TargetMode="External"/><Relationship Id="rId27" Type="http://schemas.openxmlformats.org/officeDocument/2006/relationships/hyperlink" Target="https://docs.google.com/document/d/1-4j9mX2zp3_Gd3NN9Dbktfk1jtQ9VGZr/edit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10809</Words>
  <Characters>61615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</cp:revision>
  <dcterms:created xsi:type="dcterms:W3CDTF">2024-11-05T06:56:00Z</dcterms:created>
  <dcterms:modified xsi:type="dcterms:W3CDTF">2024-11-05T08:01:00Z</dcterms:modified>
  <dc:language>ru-RU</dc:language>
</cp:coreProperties>
</file>